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485A" w14:textId="77777777" w:rsidR="00041AF1" w:rsidRDefault="00041AF1" w:rsidP="00F1598E">
      <w:pPr>
        <w:rPr>
          <w:b/>
          <w:bCs/>
        </w:rPr>
      </w:pPr>
      <w:r>
        <w:rPr>
          <w:noProof/>
          <w:lang w:eastAsia="nb-NO"/>
        </w:rPr>
        <w:drawing>
          <wp:inline distT="0" distB="0" distL="0" distR="0" wp14:anchorId="7E64C4CE" wp14:editId="01F8DB6B">
            <wp:extent cx="5756910" cy="1464945"/>
            <wp:effectExtent l="0" t="0" r="0" b="1905"/>
            <wp:docPr id="803332410" name="Bilde 1"/>
            <wp:cNvGraphicFramePr/>
            <a:graphic xmlns:a="http://schemas.openxmlformats.org/drawingml/2006/main">
              <a:graphicData uri="http://schemas.openxmlformats.org/drawingml/2006/picture">
                <pic:pic xmlns:pic="http://schemas.openxmlformats.org/drawingml/2006/picture">
                  <pic:nvPicPr>
                    <pic:cNvPr id="803332410" name="Bilde 1"/>
                    <pic:cNvPicPr/>
                  </pic:nvPicPr>
                  <pic:blipFill>
                    <a:blip r:embed="rId8">
                      <a:extLst>
                        <a:ext uri="{28A0092B-C50C-407E-A947-70E740481C1C}">
                          <a14:useLocalDpi xmlns:a14="http://schemas.microsoft.com/office/drawing/2010/main" val="0"/>
                        </a:ext>
                      </a:extLst>
                    </a:blip>
                    <a:stretch>
                      <a:fillRect/>
                    </a:stretch>
                  </pic:blipFill>
                  <pic:spPr>
                    <a:xfrm>
                      <a:off x="0" y="0"/>
                      <a:ext cx="5756910" cy="1464945"/>
                    </a:xfrm>
                    <a:prstGeom prst="rect">
                      <a:avLst/>
                    </a:prstGeom>
                  </pic:spPr>
                </pic:pic>
              </a:graphicData>
            </a:graphic>
          </wp:inline>
        </w:drawing>
      </w:r>
    </w:p>
    <w:p w14:paraId="76D72183" w14:textId="63126C2D" w:rsidR="00F1598E" w:rsidRDefault="00F1598E" w:rsidP="00F1598E">
      <w:r w:rsidRPr="002405E3">
        <w:rPr>
          <w:b/>
          <w:bCs/>
        </w:rPr>
        <w:t>Rapport fra «Sammen som kirke i hele verden» 2021</w:t>
      </w:r>
    </w:p>
    <w:p w14:paraId="4009AF83" w14:textId="3B4168D2" w:rsidR="000312FE" w:rsidRPr="000312FE" w:rsidRDefault="000312FE">
      <w:pPr>
        <w:rPr>
          <w:bCs/>
        </w:rPr>
      </w:pPr>
      <w:r w:rsidRPr="00F1598E">
        <w:rPr>
          <w:b/>
          <w:bCs/>
        </w:rPr>
        <w:t>Til:</w:t>
      </w:r>
      <w:r w:rsidRPr="000312FE">
        <w:rPr>
          <w:bCs/>
        </w:rPr>
        <w:t xml:space="preserve"> SMM- rådet og </w:t>
      </w:r>
      <w:r w:rsidR="00F1598E">
        <w:rPr>
          <w:bCs/>
        </w:rPr>
        <w:t>Agder og Telemark bispedømmeråd</w:t>
      </w:r>
      <w:r w:rsidR="00F1598E">
        <w:rPr>
          <w:bCs/>
        </w:rPr>
        <w:br/>
      </w:r>
      <w:r w:rsidRPr="00F1598E">
        <w:rPr>
          <w:b/>
          <w:bCs/>
        </w:rPr>
        <w:t>Fra:</w:t>
      </w:r>
      <w:r>
        <w:rPr>
          <w:bCs/>
        </w:rPr>
        <w:t xml:space="preserve"> Aksjonsgruppen for «Sammen som kirke i hele verden»</w:t>
      </w:r>
    </w:p>
    <w:p w14:paraId="3D06A030" w14:textId="66331D56" w:rsidR="008E420A" w:rsidRDefault="00F1598E">
      <w:r>
        <w:t xml:space="preserve">Aksjonsgruppen for «Sammen som kirke i hele verden» </w:t>
      </w:r>
      <w:r w:rsidR="004B55F5">
        <w:t>avgi</w:t>
      </w:r>
      <w:r>
        <w:t>r</w:t>
      </w:r>
      <w:r w:rsidR="004B55F5">
        <w:t xml:space="preserve"> rapport til SMM- rådet og Agder og Telemark bispedømmeråd, som begge på hver sin måte stod bak aksjonen. SMM-rådet støttet aksjonen og representerte organisasjonene. Agder og</w:t>
      </w:r>
      <w:r w:rsidR="008E420A">
        <w:t xml:space="preserve"> Telemark bispedømmeråd stod bak aksjonen </w:t>
      </w:r>
      <w:r w:rsidR="009C353E">
        <w:t>og</w:t>
      </w:r>
      <w:r w:rsidR="008E420A">
        <w:t xml:space="preserve"> inviterte de andre bispedømmene til å være med. </w:t>
      </w:r>
    </w:p>
    <w:p w14:paraId="35D99D3F" w14:textId="6871B45C" w:rsidR="008E420A" w:rsidRDefault="008E420A">
      <w:r w:rsidRPr="008E420A">
        <w:rPr>
          <w:b/>
        </w:rPr>
        <w:t>Beskrivelse av aksjonen</w:t>
      </w:r>
      <w:r w:rsidRPr="008E420A">
        <w:rPr>
          <w:b/>
        </w:rPr>
        <w:br/>
      </w:r>
      <w:r w:rsidR="00F1598E">
        <w:t>Aksjon</w:t>
      </w:r>
      <w:r w:rsidR="009F3A96">
        <w:t>en</w:t>
      </w:r>
      <w:r w:rsidR="00F1598E">
        <w:t xml:space="preserve"> </w:t>
      </w:r>
      <w:r>
        <w:t>ble gjennomført for andre gang</w:t>
      </w:r>
      <w:r w:rsidR="009F3A96">
        <w:t>,</w:t>
      </w:r>
      <w:r w:rsidR="00227687">
        <w:t xml:space="preserve"> i 2021 fra Kristi himmelfartsdag til Sankthans</w:t>
      </w:r>
      <w:r>
        <w:t>.</w:t>
      </w:r>
    </w:p>
    <w:p w14:paraId="1C23E7B4" w14:textId="00BD5150" w:rsidR="003A4ABC" w:rsidRDefault="008E420A">
      <w:r>
        <w:t>Planleggingen av aksjonen begynt</w:t>
      </w:r>
      <w:r w:rsidR="00AE0907">
        <w:t>e</w:t>
      </w:r>
      <w:r>
        <w:t xml:space="preserve"> rundt </w:t>
      </w:r>
      <w:r w:rsidR="00AE0907">
        <w:t xml:space="preserve">nyttår </w:t>
      </w:r>
      <w:r>
        <w:t>2020/2021</w:t>
      </w:r>
      <w:r w:rsidR="00AE0907">
        <w:t xml:space="preserve">. </w:t>
      </w:r>
      <w:r>
        <w:t xml:space="preserve"> </w:t>
      </w:r>
      <w:r w:rsidR="00AE0907">
        <w:t>A</w:t>
      </w:r>
      <w:r>
        <w:t>ksjonsgruppe</w:t>
      </w:r>
      <w:r w:rsidR="00F1598E">
        <w:t>n</w:t>
      </w:r>
      <w:r>
        <w:t xml:space="preserve"> </w:t>
      </w:r>
      <w:r w:rsidR="009C353E">
        <w:t>best</w:t>
      </w:r>
      <w:r w:rsidR="00AE0907">
        <w:t>od</w:t>
      </w:r>
      <w:r w:rsidR="009C353E">
        <w:t xml:space="preserve"> av:</w:t>
      </w:r>
      <w:r w:rsidR="00A93C52">
        <w:t xml:space="preserve"> </w:t>
      </w:r>
      <w:r w:rsidR="00852D30">
        <w:t>Knut Hallen (</w:t>
      </w:r>
      <w:r w:rsidR="00AE0907">
        <w:t>Daglig leder SMM</w:t>
      </w:r>
      <w:r w:rsidR="00852D30">
        <w:t xml:space="preserve">), </w:t>
      </w:r>
      <w:r w:rsidR="00085AA9">
        <w:t>Ivar Sandnes (Agder og Telemark)</w:t>
      </w:r>
      <w:r w:rsidR="00836FB5">
        <w:t>, Rune Rasmussen (Agder og Telemark)</w:t>
      </w:r>
      <w:r w:rsidR="00734025">
        <w:t>, Tore Gullaksen (Agder og Telemark) og</w:t>
      </w:r>
      <w:r w:rsidR="002405E3">
        <w:t xml:space="preserve"> Geir </w:t>
      </w:r>
      <w:r w:rsidR="00155226">
        <w:t>Sakseid (Møre)</w:t>
      </w:r>
      <w:r w:rsidR="00CC1AD9">
        <w:t>.</w:t>
      </w:r>
      <w:r w:rsidR="00136D01">
        <w:t xml:space="preserve"> </w:t>
      </w:r>
      <w:r w:rsidR="00AE0907">
        <w:br/>
      </w:r>
      <w:r w:rsidR="00AE0907">
        <w:br/>
        <w:t xml:space="preserve">Første fase bestod av en gjennomgang av aksjonens profil og rekruttering av de andre bispedømmene. Misjonsrådgiverne ble betraktet som nøkkelpersoner og var med i planleggingen av aksjonen.  Tidspunktet for årets aksjon </w:t>
      </w:r>
      <w:r w:rsidR="003A4ABC">
        <w:t>ble bestemt i nær forståelse</w:t>
      </w:r>
      <w:r w:rsidR="00AE0907">
        <w:t xml:space="preserve"> med Kirkens Nødhjelp</w:t>
      </w:r>
      <w:r w:rsidR="004610C3">
        <w:t xml:space="preserve"> (KN)</w:t>
      </w:r>
      <w:r w:rsidR="00AE0907">
        <w:t xml:space="preserve"> og Fasteaksjonen. </w:t>
      </w:r>
    </w:p>
    <w:p w14:paraId="128567C3" w14:textId="76B1F32E" w:rsidR="00AF0EF0" w:rsidRPr="00213057" w:rsidRDefault="003A4ABC">
      <w:r>
        <w:t>Når vi denne gangen inviterte menighetene til å være med, profilerte aksjonsgruppen enda tydeligere menighetens eget valgte prosjekt som fokus for aksjonen. Vi ha</w:t>
      </w:r>
      <w:r w:rsidR="00F1598E">
        <w:t>r formidlet enda klarer</w:t>
      </w:r>
      <w:r w:rsidR="00F619D9">
        <w:t>e</w:t>
      </w:r>
      <w:r w:rsidR="00F1598E">
        <w:t xml:space="preserve"> enn første gang</w:t>
      </w:r>
      <w:r>
        <w:t xml:space="preserve"> at ak</w:t>
      </w:r>
      <w:r w:rsidR="00D35C56">
        <w:t>s</w:t>
      </w:r>
      <w:r>
        <w:t>jo</w:t>
      </w:r>
      <w:r w:rsidR="00D35C56">
        <w:t>ne</w:t>
      </w:r>
      <w:r>
        <w:t>n er en sty</w:t>
      </w:r>
      <w:r w:rsidR="00D35C56">
        <w:t>rking av misjonsengasjem</w:t>
      </w:r>
      <w:r>
        <w:t>e</w:t>
      </w:r>
      <w:r w:rsidR="00D35C56">
        <w:t>n</w:t>
      </w:r>
      <w:r>
        <w:t>te</w:t>
      </w:r>
      <w:r w:rsidR="00D35C56">
        <w:t>t i menig</w:t>
      </w:r>
      <w:r>
        <w:t>h</w:t>
      </w:r>
      <w:r w:rsidR="00D35C56">
        <w:t>ete</w:t>
      </w:r>
      <w:r>
        <w:t>ne</w:t>
      </w:r>
      <w:r w:rsidR="00F619D9">
        <w:t>,</w:t>
      </w:r>
      <w:r>
        <w:t xml:space="preserve"> og </w:t>
      </w:r>
      <w:r w:rsidR="00F619D9">
        <w:t xml:space="preserve">en </w:t>
      </w:r>
      <w:r>
        <w:t xml:space="preserve">hjelp til </w:t>
      </w:r>
      <w:r w:rsidR="00D35C56">
        <w:t>å</w:t>
      </w:r>
      <w:r>
        <w:t xml:space="preserve"> ta det ansvare</w:t>
      </w:r>
      <w:r w:rsidR="00D35C56">
        <w:t>t som ligger i misjonsavtalene på større alvo</w:t>
      </w:r>
      <w:r>
        <w:t xml:space="preserve">r.   </w:t>
      </w:r>
    </w:p>
    <w:p w14:paraId="5AC13A9B" w14:textId="3CB26B31" w:rsidR="00F1598E" w:rsidRDefault="00F1598E" w:rsidP="00F1598E">
      <w:r w:rsidRPr="00213057">
        <w:rPr>
          <w:b/>
          <w:szCs w:val="24"/>
        </w:rPr>
        <w:t>Aksjonen i tall</w:t>
      </w:r>
      <w:r w:rsidR="00041AF1">
        <w:rPr>
          <w:sz w:val="36"/>
          <w:szCs w:val="36"/>
        </w:rPr>
        <w:t xml:space="preserve"> </w:t>
      </w:r>
      <w:r w:rsidR="00041AF1" w:rsidRPr="00041AF1">
        <w:rPr>
          <w:szCs w:val="24"/>
        </w:rPr>
        <w:t>(</w:t>
      </w:r>
      <w:r w:rsidR="00F619D9">
        <w:t>pr. 7</w:t>
      </w:r>
      <w:r>
        <w:t>.9.2021</w:t>
      </w:r>
      <w:r w:rsidR="00041AF1">
        <w:t>)</w:t>
      </w:r>
    </w:p>
    <w:tbl>
      <w:tblPr>
        <w:tblStyle w:val="Tabellrutenett"/>
        <w:tblW w:w="0" w:type="auto"/>
        <w:tblLook w:val="04A0" w:firstRow="1" w:lastRow="0" w:firstColumn="1" w:lastColumn="0" w:noHBand="0" w:noVBand="1"/>
      </w:tblPr>
      <w:tblGrid>
        <w:gridCol w:w="4528"/>
        <w:gridCol w:w="4528"/>
      </w:tblGrid>
      <w:tr w:rsidR="00F1598E" w14:paraId="18A4C423" w14:textId="77777777" w:rsidTr="00E50811">
        <w:tc>
          <w:tcPr>
            <w:tcW w:w="4528" w:type="dxa"/>
          </w:tcPr>
          <w:p w14:paraId="41F24611" w14:textId="2377DC0D" w:rsidR="00F1598E" w:rsidRDefault="00F1598E" w:rsidP="00E50811">
            <w:r w:rsidRPr="00A21DBF">
              <w:rPr>
                <w:b/>
                <w:bCs/>
              </w:rPr>
              <w:t>Totale inntekter 2021</w:t>
            </w:r>
            <w:r w:rsidR="00F619D9">
              <w:br/>
              <w:t>138</w:t>
            </w:r>
            <w:r>
              <w:t xml:space="preserve"> av 183 menigheter har levert rapport</w:t>
            </w:r>
          </w:p>
        </w:tc>
        <w:tc>
          <w:tcPr>
            <w:tcW w:w="4528" w:type="dxa"/>
          </w:tcPr>
          <w:p w14:paraId="0676DA63" w14:textId="69CB491E" w:rsidR="00F1598E" w:rsidRPr="00A21DBF" w:rsidRDefault="00F1598E" w:rsidP="0020626B">
            <w:pPr>
              <w:rPr>
                <w:b/>
                <w:bCs/>
              </w:rPr>
            </w:pPr>
            <w:r>
              <w:br/>
            </w:r>
            <w:r w:rsidR="00F619D9">
              <w:rPr>
                <w:b/>
                <w:bCs/>
              </w:rPr>
              <w:t>kr. 1</w:t>
            </w:r>
            <w:r w:rsidR="0020626B">
              <w:rPr>
                <w:b/>
                <w:bCs/>
              </w:rPr>
              <w:t>.</w:t>
            </w:r>
            <w:r w:rsidR="00F619D9">
              <w:rPr>
                <w:b/>
                <w:bCs/>
              </w:rPr>
              <w:t>612</w:t>
            </w:r>
            <w:r w:rsidR="0020626B">
              <w:rPr>
                <w:b/>
                <w:bCs/>
              </w:rPr>
              <w:t>.</w:t>
            </w:r>
            <w:r w:rsidR="00F619D9">
              <w:rPr>
                <w:b/>
                <w:bCs/>
              </w:rPr>
              <w:t xml:space="preserve">165 </w:t>
            </w:r>
          </w:p>
        </w:tc>
      </w:tr>
    </w:tbl>
    <w:p w14:paraId="040520BA" w14:textId="77777777" w:rsidR="00F1598E" w:rsidRDefault="00F1598E" w:rsidP="00F1598E">
      <w:pPr>
        <w:spacing w:after="0" w:line="240" w:lineRule="auto"/>
      </w:pPr>
    </w:p>
    <w:tbl>
      <w:tblPr>
        <w:tblStyle w:val="Tabellrutenett"/>
        <w:tblW w:w="0" w:type="auto"/>
        <w:tblLook w:val="04A0" w:firstRow="1" w:lastRow="0" w:firstColumn="1" w:lastColumn="0" w:noHBand="0" w:noVBand="1"/>
      </w:tblPr>
      <w:tblGrid>
        <w:gridCol w:w="4528"/>
        <w:gridCol w:w="4528"/>
      </w:tblGrid>
      <w:tr w:rsidR="00F1598E" w14:paraId="45BD63C1" w14:textId="77777777" w:rsidTr="00E50811">
        <w:tc>
          <w:tcPr>
            <w:tcW w:w="4528" w:type="dxa"/>
          </w:tcPr>
          <w:p w14:paraId="53C520EA" w14:textId="77777777" w:rsidR="00F1598E" w:rsidRPr="00613311" w:rsidRDefault="00F1598E" w:rsidP="00E50811">
            <w:pPr>
              <w:rPr>
                <w:b/>
                <w:bCs/>
              </w:rPr>
            </w:pPr>
            <w:r>
              <w:br/>
            </w:r>
            <w:r w:rsidRPr="00613311">
              <w:rPr>
                <w:b/>
                <w:bCs/>
              </w:rPr>
              <w:t>Gjennomsnittlig bidrag pr menighet</w:t>
            </w:r>
          </w:p>
        </w:tc>
        <w:tc>
          <w:tcPr>
            <w:tcW w:w="4528" w:type="dxa"/>
          </w:tcPr>
          <w:p w14:paraId="4C8C8454" w14:textId="2074A86B" w:rsidR="00F1598E" w:rsidRPr="00613311" w:rsidRDefault="00F1598E" w:rsidP="0020626B">
            <w:pPr>
              <w:rPr>
                <w:b/>
                <w:bCs/>
              </w:rPr>
            </w:pPr>
            <w:r>
              <w:br/>
            </w:r>
            <w:r w:rsidRPr="00613311">
              <w:rPr>
                <w:b/>
                <w:bCs/>
              </w:rPr>
              <w:t>kr. 11</w:t>
            </w:r>
            <w:r w:rsidR="0020626B">
              <w:rPr>
                <w:b/>
                <w:bCs/>
              </w:rPr>
              <w:t>.</w:t>
            </w:r>
            <w:r w:rsidRPr="00613311">
              <w:rPr>
                <w:b/>
                <w:bCs/>
              </w:rPr>
              <w:t>705</w:t>
            </w:r>
          </w:p>
        </w:tc>
      </w:tr>
    </w:tbl>
    <w:p w14:paraId="1D89F40B" w14:textId="77777777" w:rsidR="00041AF1" w:rsidRDefault="00F1598E" w:rsidP="00F1598E">
      <w:pPr>
        <w:spacing w:after="0" w:line="240" w:lineRule="auto"/>
        <w:rPr>
          <w:b/>
          <w:bCs/>
        </w:rPr>
      </w:pPr>
      <w:r>
        <w:br/>
      </w:r>
    </w:p>
    <w:p w14:paraId="1DD3138F" w14:textId="77777777" w:rsidR="00041AF1" w:rsidRDefault="00041AF1" w:rsidP="00F1598E">
      <w:pPr>
        <w:spacing w:after="0" w:line="240" w:lineRule="auto"/>
        <w:rPr>
          <w:b/>
          <w:bCs/>
        </w:rPr>
      </w:pPr>
    </w:p>
    <w:p w14:paraId="23CB1FC7" w14:textId="77777777" w:rsidR="00F619D9" w:rsidRDefault="00F619D9" w:rsidP="00F1598E">
      <w:pPr>
        <w:spacing w:after="0" w:line="240" w:lineRule="auto"/>
        <w:rPr>
          <w:b/>
          <w:bCs/>
        </w:rPr>
      </w:pPr>
    </w:p>
    <w:p w14:paraId="0DA8C9C5" w14:textId="45A220A0" w:rsidR="00F1598E" w:rsidRPr="00613311" w:rsidRDefault="00F1598E" w:rsidP="00F1598E">
      <w:pPr>
        <w:spacing w:after="0" w:line="240" w:lineRule="auto"/>
        <w:rPr>
          <w:b/>
          <w:bCs/>
        </w:rPr>
      </w:pPr>
      <w:r w:rsidRPr="00613311">
        <w:rPr>
          <w:b/>
          <w:bCs/>
        </w:rPr>
        <w:lastRenderedPageBreak/>
        <w:t>Inntektene fordel</w:t>
      </w:r>
      <w:r w:rsidR="00041AF1">
        <w:rPr>
          <w:b/>
          <w:bCs/>
        </w:rPr>
        <w:t>t</w:t>
      </w:r>
      <w:r w:rsidRPr="00613311">
        <w:rPr>
          <w:b/>
          <w:bCs/>
        </w:rPr>
        <w:t xml:space="preserve"> på organisasjonene:</w:t>
      </w:r>
    </w:p>
    <w:tbl>
      <w:tblPr>
        <w:tblStyle w:val="Tabellrutenett"/>
        <w:tblW w:w="0" w:type="auto"/>
        <w:tblLook w:val="04A0" w:firstRow="1" w:lastRow="0" w:firstColumn="1" w:lastColumn="0" w:noHBand="0" w:noVBand="1"/>
      </w:tblPr>
      <w:tblGrid>
        <w:gridCol w:w="1189"/>
        <w:gridCol w:w="1100"/>
        <w:gridCol w:w="1075"/>
        <w:gridCol w:w="1256"/>
        <w:gridCol w:w="1123"/>
        <w:gridCol w:w="1116"/>
        <w:gridCol w:w="1130"/>
        <w:gridCol w:w="1067"/>
      </w:tblGrid>
      <w:tr w:rsidR="00F619D9" w14:paraId="2703ECFC" w14:textId="77777777" w:rsidTr="00E50811">
        <w:tc>
          <w:tcPr>
            <w:tcW w:w="1132" w:type="dxa"/>
          </w:tcPr>
          <w:p w14:paraId="1F513833" w14:textId="77777777" w:rsidR="00F1598E" w:rsidRDefault="00F1598E" w:rsidP="00E50811">
            <w:r>
              <w:t>NMS</w:t>
            </w:r>
          </w:p>
        </w:tc>
        <w:tc>
          <w:tcPr>
            <w:tcW w:w="1132" w:type="dxa"/>
          </w:tcPr>
          <w:p w14:paraId="09E5C7C2" w14:textId="77777777" w:rsidR="00F1598E" w:rsidRDefault="00F1598E" w:rsidP="00E50811">
            <w:r>
              <w:t>Nor-misjon</w:t>
            </w:r>
          </w:p>
        </w:tc>
        <w:tc>
          <w:tcPr>
            <w:tcW w:w="1132" w:type="dxa"/>
          </w:tcPr>
          <w:p w14:paraId="4F2D1F0A" w14:textId="77777777" w:rsidR="00F1598E" w:rsidRDefault="00F1598E" w:rsidP="00E50811">
            <w:r>
              <w:t>Himal</w:t>
            </w:r>
            <w:r>
              <w:br/>
              <w:t>Partner</w:t>
            </w:r>
          </w:p>
        </w:tc>
        <w:tc>
          <w:tcPr>
            <w:tcW w:w="1132" w:type="dxa"/>
          </w:tcPr>
          <w:p w14:paraId="110C9A01" w14:textId="77777777" w:rsidR="00F1598E" w:rsidRDefault="00F1598E" w:rsidP="00E50811">
            <w:r>
              <w:t>Areopagos</w:t>
            </w:r>
          </w:p>
        </w:tc>
        <w:tc>
          <w:tcPr>
            <w:tcW w:w="1132" w:type="dxa"/>
          </w:tcPr>
          <w:p w14:paraId="2B7CC3E6" w14:textId="17BB4F45" w:rsidR="00F1598E" w:rsidRDefault="00F1598E" w:rsidP="00E50811">
            <w:r>
              <w:t>Israels-misjon</w:t>
            </w:r>
            <w:r w:rsidR="00F619D9">
              <w:t>en</w:t>
            </w:r>
          </w:p>
        </w:tc>
        <w:tc>
          <w:tcPr>
            <w:tcW w:w="1132" w:type="dxa"/>
          </w:tcPr>
          <w:p w14:paraId="6C74167C" w14:textId="77777777" w:rsidR="00F1598E" w:rsidRDefault="00F1598E" w:rsidP="00E50811">
            <w:r>
              <w:t>Misjons-alliansen</w:t>
            </w:r>
          </w:p>
        </w:tc>
        <w:tc>
          <w:tcPr>
            <w:tcW w:w="1132" w:type="dxa"/>
          </w:tcPr>
          <w:p w14:paraId="3C8F7B46" w14:textId="77777777" w:rsidR="00F1598E" w:rsidRDefault="00F1598E" w:rsidP="00E50811">
            <w:r>
              <w:t>Stefanus-alliansen</w:t>
            </w:r>
          </w:p>
        </w:tc>
        <w:tc>
          <w:tcPr>
            <w:tcW w:w="1132" w:type="dxa"/>
          </w:tcPr>
          <w:p w14:paraId="6778F961" w14:textId="77777777" w:rsidR="00F1598E" w:rsidRDefault="00F1598E" w:rsidP="00E50811">
            <w:r>
              <w:t>Andre</w:t>
            </w:r>
          </w:p>
        </w:tc>
      </w:tr>
      <w:tr w:rsidR="00F619D9" w14:paraId="63B56EF3" w14:textId="77777777" w:rsidTr="00E50811">
        <w:tc>
          <w:tcPr>
            <w:tcW w:w="1132" w:type="dxa"/>
          </w:tcPr>
          <w:p w14:paraId="5CA744DB" w14:textId="0FB5AAF6" w:rsidR="00F1598E" w:rsidRDefault="00F619D9" w:rsidP="00E50811">
            <w:r>
              <w:rPr>
                <w:rFonts w:ascii="Calibri" w:hAnsi="Calibri" w:cs="Calibri"/>
                <w:color w:val="000000"/>
                <w:szCs w:val="24"/>
              </w:rPr>
              <w:t>1.096.682</w:t>
            </w:r>
          </w:p>
        </w:tc>
        <w:tc>
          <w:tcPr>
            <w:tcW w:w="1132" w:type="dxa"/>
          </w:tcPr>
          <w:p w14:paraId="18096013" w14:textId="77777777" w:rsidR="00F1598E" w:rsidRDefault="00F1598E" w:rsidP="00E50811">
            <w:r>
              <w:rPr>
                <w:rFonts w:ascii="Calibri" w:hAnsi="Calibri" w:cs="Calibri"/>
                <w:color w:val="000000"/>
                <w:szCs w:val="24"/>
              </w:rPr>
              <w:t>109.079</w:t>
            </w:r>
          </w:p>
        </w:tc>
        <w:tc>
          <w:tcPr>
            <w:tcW w:w="1132" w:type="dxa"/>
          </w:tcPr>
          <w:p w14:paraId="3AB77C90" w14:textId="476C58C3" w:rsidR="00F1598E" w:rsidRDefault="00F1598E" w:rsidP="00E50811">
            <w:r>
              <w:rPr>
                <w:rFonts w:ascii="Calibri" w:hAnsi="Calibri" w:cs="Calibri"/>
                <w:color w:val="000000"/>
                <w:szCs w:val="24"/>
              </w:rPr>
              <w:t>90</w:t>
            </w:r>
            <w:r w:rsidR="00F619D9">
              <w:rPr>
                <w:rFonts w:ascii="Calibri" w:hAnsi="Calibri" w:cs="Calibri"/>
                <w:color w:val="000000"/>
                <w:szCs w:val="24"/>
              </w:rPr>
              <w:t>.</w:t>
            </w:r>
            <w:r>
              <w:rPr>
                <w:rFonts w:ascii="Calibri" w:hAnsi="Calibri" w:cs="Calibri"/>
                <w:color w:val="000000"/>
                <w:szCs w:val="24"/>
              </w:rPr>
              <w:t>824</w:t>
            </w:r>
          </w:p>
        </w:tc>
        <w:tc>
          <w:tcPr>
            <w:tcW w:w="1132" w:type="dxa"/>
          </w:tcPr>
          <w:p w14:paraId="2C327AFA" w14:textId="22960FED" w:rsidR="00F1598E" w:rsidRDefault="00F1598E" w:rsidP="00E50811">
            <w:r>
              <w:rPr>
                <w:rFonts w:ascii="Calibri" w:hAnsi="Calibri" w:cs="Calibri"/>
                <w:color w:val="000000"/>
                <w:szCs w:val="24"/>
              </w:rPr>
              <w:t>23</w:t>
            </w:r>
            <w:r w:rsidR="00F619D9">
              <w:rPr>
                <w:rFonts w:ascii="Calibri" w:hAnsi="Calibri" w:cs="Calibri"/>
                <w:color w:val="000000"/>
                <w:szCs w:val="24"/>
              </w:rPr>
              <w:t>.</w:t>
            </w:r>
            <w:r>
              <w:rPr>
                <w:rFonts w:ascii="Calibri" w:hAnsi="Calibri" w:cs="Calibri"/>
                <w:color w:val="000000"/>
                <w:szCs w:val="24"/>
              </w:rPr>
              <w:t>631</w:t>
            </w:r>
          </w:p>
        </w:tc>
        <w:tc>
          <w:tcPr>
            <w:tcW w:w="1132" w:type="dxa"/>
          </w:tcPr>
          <w:p w14:paraId="27A49A6B" w14:textId="77777777" w:rsidR="00F1598E" w:rsidRDefault="00F1598E" w:rsidP="00E50811">
            <w:r>
              <w:t>850</w:t>
            </w:r>
          </w:p>
        </w:tc>
        <w:tc>
          <w:tcPr>
            <w:tcW w:w="1132" w:type="dxa"/>
          </w:tcPr>
          <w:p w14:paraId="70C4CD4A" w14:textId="71EDBDD4" w:rsidR="00F1598E" w:rsidRDefault="00F1598E" w:rsidP="00E50811">
            <w:r>
              <w:rPr>
                <w:rFonts w:ascii="Calibri" w:hAnsi="Calibri" w:cs="Calibri"/>
                <w:color w:val="000000"/>
                <w:szCs w:val="24"/>
              </w:rPr>
              <w:t>99</w:t>
            </w:r>
            <w:r w:rsidR="00F619D9">
              <w:rPr>
                <w:rFonts w:ascii="Calibri" w:hAnsi="Calibri" w:cs="Calibri"/>
                <w:color w:val="000000"/>
                <w:szCs w:val="24"/>
              </w:rPr>
              <w:t>.</w:t>
            </w:r>
            <w:r>
              <w:rPr>
                <w:rFonts w:ascii="Calibri" w:hAnsi="Calibri" w:cs="Calibri"/>
                <w:color w:val="000000"/>
                <w:szCs w:val="24"/>
              </w:rPr>
              <w:t>487</w:t>
            </w:r>
          </w:p>
        </w:tc>
        <w:tc>
          <w:tcPr>
            <w:tcW w:w="1132" w:type="dxa"/>
          </w:tcPr>
          <w:p w14:paraId="49048898" w14:textId="77777777" w:rsidR="00F1598E" w:rsidRDefault="00F1598E" w:rsidP="00E50811">
            <w:r>
              <w:rPr>
                <w:rFonts w:ascii="Calibri" w:hAnsi="Calibri" w:cs="Calibri"/>
                <w:color w:val="000000"/>
                <w:szCs w:val="24"/>
              </w:rPr>
              <w:t>137.471</w:t>
            </w:r>
          </w:p>
        </w:tc>
        <w:tc>
          <w:tcPr>
            <w:tcW w:w="1132" w:type="dxa"/>
          </w:tcPr>
          <w:p w14:paraId="4DF8FAAC" w14:textId="489859D6" w:rsidR="00F1598E" w:rsidRDefault="00F1598E" w:rsidP="00E50811">
            <w:r>
              <w:t>54</w:t>
            </w:r>
            <w:r w:rsidR="00F619D9">
              <w:t>.</w:t>
            </w:r>
            <w:r>
              <w:t>129</w:t>
            </w:r>
          </w:p>
        </w:tc>
      </w:tr>
    </w:tbl>
    <w:p w14:paraId="5E0965A5" w14:textId="77777777" w:rsidR="00213057" w:rsidRDefault="00213057" w:rsidP="00F1598E">
      <w:pPr>
        <w:spacing w:after="0" w:line="240" w:lineRule="auto"/>
      </w:pPr>
    </w:p>
    <w:p w14:paraId="426E51A5" w14:textId="01B5649D" w:rsidR="00F1598E" w:rsidRPr="00613311" w:rsidRDefault="00F1598E" w:rsidP="00F1598E">
      <w:pPr>
        <w:spacing w:after="0" w:line="240" w:lineRule="auto"/>
        <w:rPr>
          <w:b/>
          <w:bCs/>
        </w:rPr>
      </w:pPr>
      <w:r w:rsidRPr="00613311">
        <w:rPr>
          <w:b/>
          <w:bCs/>
        </w:rPr>
        <w:t>Inntekter pr</w:t>
      </w:r>
      <w:r w:rsidR="00853F74">
        <w:rPr>
          <w:b/>
          <w:bCs/>
        </w:rPr>
        <w:t>.</w:t>
      </w:r>
      <w:r w:rsidRPr="00613311">
        <w:rPr>
          <w:b/>
          <w:bCs/>
        </w:rPr>
        <w:t xml:space="preserve"> innsamlingsform</w:t>
      </w:r>
    </w:p>
    <w:tbl>
      <w:tblPr>
        <w:tblStyle w:val="Tabellrutenett"/>
        <w:tblW w:w="0" w:type="auto"/>
        <w:tblLook w:val="04A0" w:firstRow="1" w:lastRow="0" w:firstColumn="1" w:lastColumn="0" w:noHBand="0" w:noVBand="1"/>
      </w:tblPr>
      <w:tblGrid>
        <w:gridCol w:w="1509"/>
        <w:gridCol w:w="1509"/>
        <w:gridCol w:w="1509"/>
        <w:gridCol w:w="1509"/>
        <w:gridCol w:w="1510"/>
      </w:tblGrid>
      <w:tr w:rsidR="00F1598E" w14:paraId="48D8C5AD" w14:textId="77777777" w:rsidTr="00E50811">
        <w:tc>
          <w:tcPr>
            <w:tcW w:w="1509" w:type="dxa"/>
          </w:tcPr>
          <w:p w14:paraId="1D3EF9F7" w14:textId="77777777" w:rsidR="00F1598E" w:rsidRDefault="00F1598E" w:rsidP="00E50811">
            <w:r>
              <w:t>Facebook</w:t>
            </w:r>
          </w:p>
        </w:tc>
        <w:tc>
          <w:tcPr>
            <w:tcW w:w="1509" w:type="dxa"/>
          </w:tcPr>
          <w:p w14:paraId="1408361A" w14:textId="77777777" w:rsidR="00F1598E" w:rsidRDefault="00F1598E" w:rsidP="00E50811">
            <w:r>
              <w:t>Vipps</w:t>
            </w:r>
          </w:p>
        </w:tc>
        <w:tc>
          <w:tcPr>
            <w:tcW w:w="1509" w:type="dxa"/>
          </w:tcPr>
          <w:p w14:paraId="1A102DDB" w14:textId="77777777" w:rsidR="00F1598E" w:rsidRDefault="00F1598E" w:rsidP="00E50811">
            <w:r>
              <w:t>Spleis</w:t>
            </w:r>
          </w:p>
        </w:tc>
        <w:tc>
          <w:tcPr>
            <w:tcW w:w="1509" w:type="dxa"/>
          </w:tcPr>
          <w:p w14:paraId="79BBFD0D" w14:textId="77777777" w:rsidR="00F1598E" w:rsidRDefault="00F1598E" w:rsidP="00E50811">
            <w:r>
              <w:t>Andre</w:t>
            </w:r>
          </w:p>
        </w:tc>
        <w:tc>
          <w:tcPr>
            <w:tcW w:w="1510" w:type="dxa"/>
          </w:tcPr>
          <w:p w14:paraId="3BE7DB67" w14:textId="77777777" w:rsidR="00F1598E" w:rsidRDefault="00F1598E" w:rsidP="00E50811">
            <w:r>
              <w:t>Offer</w:t>
            </w:r>
          </w:p>
        </w:tc>
      </w:tr>
      <w:tr w:rsidR="00F1598E" w:rsidRPr="00F55596" w14:paraId="2EE5A063" w14:textId="77777777" w:rsidTr="00E50811">
        <w:tc>
          <w:tcPr>
            <w:tcW w:w="1509" w:type="dxa"/>
          </w:tcPr>
          <w:p w14:paraId="3F244DB9" w14:textId="77777777" w:rsidR="00F1598E" w:rsidRDefault="00F1598E" w:rsidP="00E50811">
            <w:r>
              <w:t>165.411</w:t>
            </w:r>
          </w:p>
        </w:tc>
        <w:tc>
          <w:tcPr>
            <w:tcW w:w="1509" w:type="dxa"/>
          </w:tcPr>
          <w:p w14:paraId="6EC67DCF" w14:textId="77777777" w:rsidR="00F1598E" w:rsidRDefault="00F1598E" w:rsidP="00E50811">
            <w:r>
              <w:t>516.304</w:t>
            </w:r>
          </w:p>
        </w:tc>
        <w:tc>
          <w:tcPr>
            <w:tcW w:w="1509" w:type="dxa"/>
          </w:tcPr>
          <w:p w14:paraId="4FD5529A" w14:textId="77777777" w:rsidR="00F1598E" w:rsidRDefault="00F1598E" w:rsidP="00E50811">
            <w:r>
              <w:t>176.074</w:t>
            </w:r>
          </w:p>
        </w:tc>
        <w:tc>
          <w:tcPr>
            <w:tcW w:w="1509" w:type="dxa"/>
          </w:tcPr>
          <w:p w14:paraId="45CEC712" w14:textId="77777777" w:rsidR="00F1598E" w:rsidRDefault="00F1598E" w:rsidP="00E50811">
            <w:r>
              <w:t>317.946</w:t>
            </w:r>
          </w:p>
        </w:tc>
        <w:tc>
          <w:tcPr>
            <w:tcW w:w="1510" w:type="dxa"/>
          </w:tcPr>
          <w:p w14:paraId="28B7D150" w14:textId="4DC75AE8" w:rsidR="00F1598E" w:rsidRDefault="00853F74" w:rsidP="00E50811">
            <w:r>
              <w:t>438.608</w:t>
            </w:r>
          </w:p>
        </w:tc>
      </w:tr>
    </w:tbl>
    <w:p w14:paraId="3A46C3E4" w14:textId="77777777" w:rsidR="00F1598E" w:rsidRPr="00B2704E" w:rsidRDefault="00F1598E" w:rsidP="00F1598E">
      <w:pPr>
        <w:spacing w:after="0" w:line="240" w:lineRule="auto"/>
        <w:rPr>
          <w:b/>
          <w:bCs/>
        </w:rPr>
      </w:pPr>
      <w:r>
        <w:br/>
      </w:r>
      <w:r w:rsidRPr="00B2704E">
        <w:rPr>
          <w:b/>
          <w:bCs/>
        </w:rPr>
        <w:t>Inntekter</w:t>
      </w:r>
      <w:r>
        <w:rPr>
          <w:b/>
          <w:bCs/>
        </w:rPr>
        <w:t xml:space="preserve"> og antall</w:t>
      </w:r>
      <w:r w:rsidRPr="00B2704E">
        <w:rPr>
          <w:b/>
          <w:bCs/>
        </w:rPr>
        <w:t xml:space="preserve"> pr. bispedømme</w:t>
      </w:r>
      <w:r>
        <w:rPr>
          <w:b/>
          <w:bCs/>
        </w:rPr>
        <w:t xml:space="preserve"> 2021</w:t>
      </w:r>
    </w:p>
    <w:tbl>
      <w:tblPr>
        <w:tblStyle w:val="Tabellrutenett"/>
        <w:tblW w:w="0" w:type="auto"/>
        <w:tblLook w:val="04A0" w:firstRow="1" w:lastRow="0" w:firstColumn="1" w:lastColumn="0" w:noHBand="0" w:noVBand="1"/>
      </w:tblPr>
      <w:tblGrid>
        <w:gridCol w:w="1138"/>
        <w:gridCol w:w="866"/>
        <w:gridCol w:w="767"/>
        <w:gridCol w:w="768"/>
        <w:gridCol w:w="866"/>
        <w:gridCol w:w="766"/>
        <w:gridCol w:w="866"/>
        <w:gridCol w:w="770"/>
        <w:gridCol w:w="866"/>
        <w:gridCol w:w="766"/>
        <w:gridCol w:w="617"/>
      </w:tblGrid>
      <w:tr w:rsidR="00F1598E" w14:paraId="7DEFE95E" w14:textId="77777777" w:rsidTr="00E50811">
        <w:tc>
          <w:tcPr>
            <w:tcW w:w="1138" w:type="dxa"/>
          </w:tcPr>
          <w:p w14:paraId="47D5D812" w14:textId="77777777" w:rsidR="00F1598E" w:rsidRPr="00F55596" w:rsidRDefault="00F1598E" w:rsidP="00E50811">
            <w:pPr>
              <w:rPr>
                <w:sz w:val="20"/>
                <w:szCs w:val="20"/>
              </w:rPr>
            </w:pPr>
            <w:r>
              <w:rPr>
                <w:sz w:val="20"/>
                <w:szCs w:val="20"/>
              </w:rPr>
              <w:t>2021</w:t>
            </w:r>
          </w:p>
        </w:tc>
        <w:tc>
          <w:tcPr>
            <w:tcW w:w="866" w:type="dxa"/>
          </w:tcPr>
          <w:p w14:paraId="71CF06FF" w14:textId="77777777" w:rsidR="00F1598E" w:rsidRPr="00F55596" w:rsidRDefault="00F1598E" w:rsidP="00E50811">
            <w:pPr>
              <w:rPr>
                <w:sz w:val="20"/>
                <w:szCs w:val="20"/>
              </w:rPr>
            </w:pPr>
            <w:r w:rsidRPr="00F55596">
              <w:rPr>
                <w:sz w:val="20"/>
                <w:szCs w:val="20"/>
              </w:rPr>
              <w:t>A&amp;T</w:t>
            </w:r>
          </w:p>
        </w:tc>
        <w:tc>
          <w:tcPr>
            <w:tcW w:w="789" w:type="dxa"/>
          </w:tcPr>
          <w:p w14:paraId="2E4C6A63" w14:textId="77777777" w:rsidR="00F1598E" w:rsidRPr="00F55596" w:rsidRDefault="00F1598E" w:rsidP="00E50811">
            <w:pPr>
              <w:rPr>
                <w:sz w:val="20"/>
                <w:szCs w:val="20"/>
              </w:rPr>
            </w:pPr>
            <w:r w:rsidRPr="00F55596">
              <w:rPr>
                <w:sz w:val="20"/>
                <w:szCs w:val="20"/>
              </w:rPr>
              <w:t>Tunsb</w:t>
            </w:r>
          </w:p>
        </w:tc>
        <w:tc>
          <w:tcPr>
            <w:tcW w:w="800" w:type="dxa"/>
          </w:tcPr>
          <w:p w14:paraId="449A1448" w14:textId="77777777" w:rsidR="00F1598E" w:rsidRPr="00F55596" w:rsidRDefault="00F1598E" w:rsidP="00E50811">
            <w:pPr>
              <w:rPr>
                <w:sz w:val="20"/>
                <w:szCs w:val="20"/>
              </w:rPr>
            </w:pPr>
            <w:r w:rsidRPr="00F55596">
              <w:rPr>
                <w:sz w:val="20"/>
                <w:szCs w:val="20"/>
              </w:rPr>
              <w:t>Oslo</w:t>
            </w:r>
          </w:p>
        </w:tc>
        <w:tc>
          <w:tcPr>
            <w:tcW w:w="866" w:type="dxa"/>
          </w:tcPr>
          <w:p w14:paraId="6608F076" w14:textId="77777777" w:rsidR="00F1598E" w:rsidRPr="00F55596" w:rsidRDefault="00F1598E" w:rsidP="00E50811">
            <w:pPr>
              <w:rPr>
                <w:sz w:val="20"/>
                <w:szCs w:val="20"/>
              </w:rPr>
            </w:pPr>
            <w:r w:rsidRPr="00F55596">
              <w:rPr>
                <w:sz w:val="20"/>
                <w:szCs w:val="20"/>
              </w:rPr>
              <w:t>Møre</w:t>
            </w:r>
          </w:p>
        </w:tc>
        <w:tc>
          <w:tcPr>
            <w:tcW w:w="766" w:type="dxa"/>
          </w:tcPr>
          <w:p w14:paraId="7FFDC4B1" w14:textId="77777777" w:rsidR="00F1598E" w:rsidRPr="00F55596" w:rsidRDefault="00F1598E" w:rsidP="00E50811">
            <w:pPr>
              <w:rPr>
                <w:sz w:val="20"/>
                <w:szCs w:val="20"/>
              </w:rPr>
            </w:pPr>
            <w:r w:rsidRPr="00F55596">
              <w:rPr>
                <w:sz w:val="20"/>
                <w:szCs w:val="20"/>
              </w:rPr>
              <w:t>Bjørg</w:t>
            </w:r>
          </w:p>
        </w:tc>
        <w:tc>
          <w:tcPr>
            <w:tcW w:w="866" w:type="dxa"/>
          </w:tcPr>
          <w:p w14:paraId="456FB4BC" w14:textId="77777777" w:rsidR="00F1598E" w:rsidRPr="00F55596" w:rsidRDefault="00F1598E" w:rsidP="00E50811">
            <w:pPr>
              <w:rPr>
                <w:sz w:val="20"/>
                <w:szCs w:val="20"/>
              </w:rPr>
            </w:pPr>
            <w:r w:rsidRPr="00F55596">
              <w:rPr>
                <w:sz w:val="20"/>
                <w:szCs w:val="20"/>
              </w:rPr>
              <w:t>Borg</w:t>
            </w:r>
          </w:p>
        </w:tc>
        <w:tc>
          <w:tcPr>
            <w:tcW w:w="837" w:type="dxa"/>
          </w:tcPr>
          <w:p w14:paraId="697562A4" w14:textId="77777777" w:rsidR="00F1598E" w:rsidRPr="00F55596" w:rsidRDefault="00F1598E" w:rsidP="00E50811">
            <w:pPr>
              <w:rPr>
                <w:sz w:val="20"/>
                <w:szCs w:val="20"/>
              </w:rPr>
            </w:pPr>
            <w:r w:rsidRPr="00F55596">
              <w:rPr>
                <w:sz w:val="20"/>
                <w:szCs w:val="20"/>
              </w:rPr>
              <w:t>S.H</w:t>
            </w:r>
          </w:p>
        </w:tc>
        <w:tc>
          <w:tcPr>
            <w:tcW w:w="866" w:type="dxa"/>
          </w:tcPr>
          <w:p w14:paraId="57561F51" w14:textId="77777777" w:rsidR="00F1598E" w:rsidRPr="00F55596" w:rsidRDefault="00F1598E" w:rsidP="00E50811">
            <w:pPr>
              <w:rPr>
                <w:sz w:val="20"/>
                <w:szCs w:val="20"/>
              </w:rPr>
            </w:pPr>
            <w:r w:rsidRPr="00F55596">
              <w:rPr>
                <w:sz w:val="20"/>
                <w:szCs w:val="20"/>
              </w:rPr>
              <w:t>Stav</w:t>
            </w:r>
          </w:p>
        </w:tc>
        <w:tc>
          <w:tcPr>
            <w:tcW w:w="631" w:type="dxa"/>
          </w:tcPr>
          <w:p w14:paraId="1DFC5C4A" w14:textId="77777777" w:rsidR="00F1598E" w:rsidRPr="00F55596" w:rsidRDefault="00F1598E" w:rsidP="00E50811">
            <w:pPr>
              <w:rPr>
                <w:sz w:val="20"/>
                <w:szCs w:val="20"/>
              </w:rPr>
            </w:pPr>
            <w:r>
              <w:rPr>
                <w:sz w:val="20"/>
                <w:szCs w:val="20"/>
              </w:rPr>
              <w:t>Nida</w:t>
            </w:r>
          </w:p>
        </w:tc>
        <w:tc>
          <w:tcPr>
            <w:tcW w:w="631" w:type="dxa"/>
          </w:tcPr>
          <w:p w14:paraId="756D5201" w14:textId="77777777" w:rsidR="00F1598E" w:rsidRPr="00F55596" w:rsidRDefault="00F1598E" w:rsidP="00E50811">
            <w:pPr>
              <w:rPr>
                <w:sz w:val="20"/>
                <w:szCs w:val="20"/>
              </w:rPr>
            </w:pPr>
            <w:r>
              <w:rPr>
                <w:sz w:val="20"/>
                <w:szCs w:val="20"/>
              </w:rPr>
              <w:t>NH</w:t>
            </w:r>
          </w:p>
        </w:tc>
      </w:tr>
      <w:tr w:rsidR="00F1598E" w14:paraId="136D47F4" w14:textId="77777777" w:rsidTr="00E50811">
        <w:tc>
          <w:tcPr>
            <w:tcW w:w="1138" w:type="dxa"/>
          </w:tcPr>
          <w:p w14:paraId="77D8C8D6" w14:textId="77777777" w:rsidR="00F1598E" w:rsidRPr="00F55596" w:rsidRDefault="00F1598E" w:rsidP="00E50811">
            <w:pPr>
              <w:rPr>
                <w:sz w:val="20"/>
                <w:szCs w:val="20"/>
              </w:rPr>
            </w:pPr>
            <w:r w:rsidRPr="00F55596">
              <w:rPr>
                <w:sz w:val="20"/>
                <w:szCs w:val="20"/>
              </w:rPr>
              <w:t>Inntekter</w:t>
            </w:r>
          </w:p>
        </w:tc>
        <w:tc>
          <w:tcPr>
            <w:tcW w:w="866" w:type="dxa"/>
          </w:tcPr>
          <w:p w14:paraId="529DA62A" w14:textId="77777777" w:rsidR="00F1598E" w:rsidRPr="00F55596" w:rsidRDefault="00F1598E" w:rsidP="00E50811">
            <w:pPr>
              <w:rPr>
                <w:sz w:val="20"/>
                <w:szCs w:val="20"/>
              </w:rPr>
            </w:pPr>
            <w:r w:rsidRPr="00F55596">
              <w:rPr>
                <w:sz w:val="20"/>
                <w:szCs w:val="20"/>
              </w:rPr>
              <w:t>467.393</w:t>
            </w:r>
          </w:p>
        </w:tc>
        <w:tc>
          <w:tcPr>
            <w:tcW w:w="789" w:type="dxa"/>
          </w:tcPr>
          <w:p w14:paraId="04FC6CCF" w14:textId="77777777" w:rsidR="00F1598E" w:rsidRPr="00F55596" w:rsidRDefault="00F1598E" w:rsidP="00E50811">
            <w:pPr>
              <w:rPr>
                <w:sz w:val="20"/>
                <w:szCs w:val="20"/>
              </w:rPr>
            </w:pPr>
            <w:r w:rsidRPr="00F55596">
              <w:rPr>
                <w:sz w:val="20"/>
                <w:szCs w:val="20"/>
              </w:rPr>
              <w:t>88.040</w:t>
            </w:r>
          </w:p>
        </w:tc>
        <w:tc>
          <w:tcPr>
            <w:tcW w:w="800" w:type="dxa"/>
          </w:tcPr>
          <w:p w14:paraId="62E6E29E" w14:textId="77777777" w:rsidR="00F1598E" w:rsidRPr="00F55596" w:rsidRDefault="00F1598E" w:rsidP="00E50811">
            <w:pPr>
              <w:rPr>
                <w:sz w:val="20"/>
                <w:szCs w:val="20"/>
              </w:rPr>
            </w:pPr>
            <w:r w:rsidRPr="00F55596">
              <w:rPr>
                <w:sz w:val="20"/>
                <w:szCs w:val="20"/>
              </w:rPr>
              <w:t>67.125</w:t>
            </w:r>
          </w:p>
        </w:tc>
        <w:tc>
          <w:tcPr>
            <w:tcW w:w="866" w:type="dxa"/>
          </w:tcPr>
          <w:p w14:paraId="4E90A1B0" w14:textId="77777777" w:rsidR="00F1598E" w:rsidRPr="00F55596" w:rsidRDefault="00F1598E" w:rsidP="00E50811">
            <w:pPr>
              <w:rPr>
                <w:sz w:val="20"/>
                <w:szCs w:val="20"/>
              </w:rPr>
            </w:pPr>
            <w:r w:rsidRPr="00F55596">
              <w:rPr>
                <w:sz w:val="20"/>
                <w:szCs w:val="20"/>
              </w:rPr>
              <w:t>305.084</w:t>
            </w:r>
          </w:p>
        </w:tc>
        <w:tc>
          <w:tcPr>
            <w:tcW w:w="766" w:type="dxa"/>
          </w:tcPr>
          <w:p w14:paraId="1D97B20F" w14:textId="77777777" w:rsidR="00F1598E" w:rsidRPr="00F55596" w:rsidRDefault="00F1598E" w:rsidP="00E50811">
            <w:pPr>
              <w:rPr>
                <w:sz w:val="20"/>
                <w:szCs w:val="20"/>
              </w:rPr>
            </w:pPr>
            <w:r w:rsidRPr="00F55596">
              <w:rPr>
                <w:sz w:val="20"/>
                <w:szCs w:val="20"/>
              </w:rPr>
              <w:t>92.370</w:t>
            </w:r>
          </w:p>
        </w:tc>
        <w:tc>
          <w:tcPr>
            <w:tcW w:w="866" w:type="dxa"/>
          </w:tcPr>
          <w:p w14:paraId="5F96AA1C" w14:textId="77777777" w:rsidR="00F1598E" w:rsidRPr="00F55596" w:rsidRDefault="00F1598E" w:rsidP="00E50811">
            <w:pPr>
              <w:rPr>
                <w:sz w:val="20"/>
                <w:szCs w:val="20"/>
              </w:rPr>
            </w:pPr>
            <w:r w:rsidRPr="00F55596">
              <w:rPr>
                <w:sz w:val="20"/>
                <w:szCs w:val="20"/>
              </w:rPr>
              <w:t>231.654</w:t>
            </w:r>
          </w:p>
        </w:tc>
        <w:tc>
          <w:tcPr>
            <w:tcW w:w="837" w:type="dxa"/>
          </w:tcPr>
          <w:p w14:paraId="3208EB02" w14:textId="77777777" w:rsidR="00F1598E" w:rsidRPr="00F55596" w:rsidRDefault="00F1598E" w:rsidP="00E50811">
            <w:pPr>
              <w:rPr>
                <w:sz w:val="20"/>
                <w:szCs w:val="20"/>
              </w:rPr>
            </w:pPr>
            <w:r w:rsidRPr="00F55596">
              <w:rPr>
                <w:sz w:val="20"/>
                <w:szCs w:val="20"/>
              </w:rPr>
              <w:t>42.024</w:t>
            </w:r>
          </w:p>
        </w:tc>
        <w:tc>
          <w:tcPr>
            <w:tcW w:w="866" w:type="dxa"/>
          </w:tcPr>
          <w:p w14:paraId="1B2C88B7" w14:textId="2C5B79C2" w:rsidR="00F1598E" w:rsidRPr="00F55596" w:rsidRDefault="00853F74" w:rsidP="00853F74">
            <w:pPr>
              <w:rPr>
                <w:sz w:val="20"/>
                <w:szCs w:val="20"/>
              </w:rPr>
            </w:pPr>
            <w:r>
              <w:rPr>
                <w:sz w:val="20"/>
                <w:szCs w:val="20"/>
              </w:rPr>
              <w:t>298.620</w:t>
            </w:r>
          </w:p>
        </w:tc>
        <w:tc>
          <w:tcPr>
            <w:tcW w:w="631" w:type="dxa"/>
          </w:tcPr>
          <w:p w14:paraId="168597EB" w14:textId="4C5ABF26" w:rsidR="00F1598E" w:rsidRPr="00F55596" w:rsidRDefault="00F1598E" w:rsidP="00E50811">
            <w:pPr>
              <w:rPr>
                <w:sz w:val="20"/>
                <w:szCs w:val="20"/>
              </w:rPr>
            </w:pPr>
            <w:r>
              <w:rPr>
                <w:sz w:val="20"/>
                <w:szCs w:val="20"/>
              </w:rPr>
              <w:t>15</w:t>
            </w:r>
            <w:r w:rsidR="00853F74">
              <w:rPr>
                <w:sz w:val="20"/>
                <w:szCs w:val="20"/>
              </w:rPr>
              <w:t>.</w:t>
            </w:r>
            <w:r>
              <w:rPr>
                <w:sz w:val="20"/>
                <w:szCs w:val="20"/>
              </w:rPr>
              <w:t>127</w:t>
            </w:r>
          </w:p>
        </w:tc>
        <w:tc>
          <w:tcPr>
            <w:tcW w:w="631" w:type="dxa"/>
          </w:tcPr>
          <w:p w14:paraId="1E21D822" w14:textId="77777777" w:rsidR="00F1598E" w:rsidRPr="00F55596" w:rsidRDefault="00F1598E" w:rsidP="00E50811">
            <w:pPr>
              <w:rPr>
                <w:sz w:val="20"/>
                <w:szCs w:val="20"/>
              </w:rPr>
            </w:pPr>
            <w:r>
              <w:rPr>
                <w:sz w:val="20"/>
                <w:szCs w:val="20"/>
              </w:rPr>
              <w:t>3825</w:t>
            </w:r>
          </w:p>
        </w:tc>
      </w:tr>
      <w:tr w:rsidR="00F1598E" w14:paraId="26627DE4" w14:textId="77777777" w:rsidTr="00E50811">
        <w:tc>
          <w:tcPr>
            <w:tcW w:w="1138" w:type="dxa"/>
          </w:tcPr>
          <w:p w14:paraId="626E0693" w14:textId="77777777" w:rsidR="00F1598E" w:rsidRPr="00F55596" w:rsidRDefault="00F1598E" w:rsidP="00E50811">
            <w:pPr>
              <w:spacing w:line="240" w:lineRule="auto"/>
              <w:rPr>
                <w:sz w:val="20"/>
                <w:szCs w:val="20"/>
              </w:rPr>
            </w:pPr>
            <w:r w:rsidRPr="00F55596">
              <w:rPr>
                <w:sz w:val="20"/>
                <w:szCs w:val="20"/>
              </w:rPr>
              <w:t>Menigheter</w:t>
            </w:r>
            <w:r w:rsidRPr="00F55596">
              <w:rPr>
                <w:sz w:val="20"/>
                <w:szCs w:val="20"/>
              </w:rPr>
              <w:br/>
              <w:t>Levert rap i parentes</w:t>
            </w:r>
          </w:p>
        </w:tc>
        <w:tc>
          <w:tcPr>
            <w:tcW w:w="866" w:type="dxa"/>
          </w:tcPr>
          <w:p w14:paraId="31FF1251" w14:textId="77777777" w:rsidR="00F1598E" w:rsidRPr="00F55596" w:rsidRDefault="00F1598E" w:rsidP="00E50811">
            <w:pPr>
              <w:rPr>
                <w:sz w:val="20"/>
                <w:szCs w:val="20"/>
              </w:rPr>
            </w:pPr>
            <w:r w:rsidRPr="00F55596">
              <w:rPr>
                <w:sz w:val="20"/>
                <w:szCs w:val="20"/>
              </w:rPr>
              <w:br/>
              <w:t xml:space="preserve">44 </w:t>
            </w:r>
            <w:r>
              <w:rPr>
                <w:sz w:val="20"/>
                <w:szCs w:val="20"/>
              </w:rPr>
              <w:br/>
            </w:r>
            <w:r w:rsidRPr="00F55596">
              <w:rPr>
                <w:sz w:val="20"/>
                <w:szCs w:val="20"/>
              </w:rPr>
              <w:t>(36)</w:t>
            </w:r>
          </w:p>
        </w:tc>
        <w:tc>
          <w:tcPr>
            <w:tcW w:w="789" w:type="dxa"/>
          </w:tcPr>
          <w:p w14:paraId="216E69E5" w14:textId="77777777" w:rsidR="00F1598E" w:rsidRPr="00F55596" w:rsidRDefault="00F1598E" w:rsidP="00E50811">
            <w:pPr>
              <w:rPr>
                <w:sz w:val="20"/>
                <w:szCs w:val="20"/>
              </w:rPr>
            </w:pPr>
            <w:r w:rsidRPr="00F55596">
              <w:rPr>
                <w:sz w:val="20"/>
                <w:szCs w:val="20"/>
              </w:rPr>
              <w:br/>
              <w:t>15 (11)</w:t>
            </w:r>
          </w:p>
        </w:tc>
        <w:tc>
          <w:tcPr>
            <w:tcW w:w="800" w:type="dxa"/>
          </w:tcPr>
          <w:p w14:paraId="23E14013" w14:textId="77777777" w:rsidR="00F1598E" w:rsidRPr="00F55596" w:rsidRDefault="00F1598E" w:rsidP="00E50811">
            <w:pPr>
              <w:rPr>
                <w:sz w:val="20"/>
                <w:szCs w:val="20"/>
              </w:rPr>
            </w:pPr>
            <w:r w:rsidRPr="00F55596">
              <w:rPr>
                <w:sz w:val="20"/>
                <w:szCs w:val="20"/>
              </w:rPr>
              <w:br/>
              <w:t>11 (10)</w:t>
            </w:r>
          </w:p>
        </w:tc>
        <w:tc>
          <w:tcPr>
            <w:tcW w:w="866" w:type="dxa"/>
          </w:tcPr>
          <w:p w14:paraId="1363D021" w14:textId="77777777" w:rsidR="00F1598E" w:rsidRPr="00F55596" w:rsidRDefault="00F1598E" w:rsidP="00E50811">
            <w:pPr>
              <w:rPr>
                <w:sz w:val="20"/>
                <w:szCs w:val="20"/>
              </w:rPr>
            </w:pPr>
            <w:r w:rsidRPr="00F55596">
              <w:rPr>
                <w:sz w:val="20"/>
                <w:szCs w:val="20"/>
              </w:rPr>
              <w:br/>
              <w:t xml:space="preserve">34 </w:t>
            </w:r>
            <w:r>
              <w:rPr>
                <w:sz w:val="20"/>
                <w:szCs w:val="20"/>
              </w:rPr>
              <w:br/>
            </w:r>
            <w:r w:rsidRPr="00F55596">
              <w:rPr>
                <w:sz w:val="20"/>
                <w:szCs w:val="20"/>
              </w:rPr>
              <w:t>(33)</w:t>
            </w:r>
          </w:p>
        </w:tc>
        <w:tc>
          <w:tcPr>
            <w:tcW w:w="766" w:type="dxa"/>
          </w:tcPr>
          <w:p w14:paraId="77343071" w14:textId="77777777" w:rsidR="00F1598E" w:rsidRPr="00F55596" w:rsidRDefault="00F1598E" w:rsidP="00E50811">
            <w:pPr>
              <w:rPr>
                <w:sz w:val="20"/>
                <w:szCs w:val="20"/>
              </w:rPr>
            </w:pPr>
            <w:r w:rsidRPr="00F55596">
              <w:rPr>
                <w:sz w:val="20"/>
                <w:szCs w:val="20"/>
              </w:rPr>
              <w:br/>
              <w:t xml:space="preserve">12 </w:t>
            </w:r>
            <w:r>
              <w:rPr>
                <w:sz w:val="20"/>
                <w:szCs w:val="20"/>
              </w:rPr>
              <w:br/>
            </w:r>
            <w:r w:rsidRPr="00F55596">
              <w:rPr>
                <w:sz w:val="20"/>
                <w:szCs w:val="20"/>
              </w:rPr>
              <w:t>(8)</w:t>
            </w:r>
          </w:p>
        </w:tc>
        <w:tc>
          <w:tcPr>
            <w:tcW w:w="866" w:type="dxa"/>
          </w:tcPr>
          <w:p w14:paraId="28335092" w14:textId="77777777" w:rsidR="00F1598E" w:rsidRPr="00F55596" w:rsidRDefault="00F1598E" w:rsidP="00E50811">
            <w:pPr>
              <w:rPr>
                <w:sz w:val="20"/>
                <w:szCs w:val="20"/>
              </w:rPr>
            </w:pPr>
            <w:r w:rsidRPr="00F55596">
              <w:rPr>
                <w:sz w:val="20"/>
                <w:szCs w:val="20"/>
              </w:rPr>
              <w:br/>
              <w:t xml:space="preserve">8 </w:t>
            </w:r>
            <w:r>
              <w:rPr>
                <w:sz w:val="20"/>
                <w:szCs w:val="20"/>
              </w:rPr>
              <w:br/>
            </w:r>
            <w:r w:rsidRPr="00F55596">
              <w:rPr>
                <w:sz w:val="20"/>
                <w:szCs w:val="20"/>
              </w:rPr>
              <w:t>(7)</w:t>
            </w:r>
          </w:p>
        </w:tc>
        <w:tc>
          <w:tcPr>
            <w:tcW w:w="837" w:type="dxa"/>
          </w:tcPr>
          <w:p w14:paraId="53A6ABB5" w14:textId="77777777" w:rsidR="00F1598E" w:rsidRPr="00F55596" w:rsidRDefault="00F1598E" w:rsidP="00E50811">
            <w:pPr>
              <w:rPr>
                <w:sz w:val="20"/>
                <w:szCs w:val="20"/>
              </w:rPr>
            </w:pPr>
            <w:r w:rsidRPr="00F55596">
              <w:rPr>
                <w:sz w:val="20"/>
                <w:szCs w:val="20"/>
              </w:rPr>
              <w:br/>
              <w:t>15 (11)</w:t>
            </w:r>
          </w:p>
        </w:tc>
        <w:tc>
          <w:tcPr>
            <w:tcW w:w="866" w:type="dxa"/>
          </w:tcPr>
          <w:p w14:paraId="3C162136" w14:textId="73113830" w:rsidR="00F1598E" w:rsidRPr="00F55596" w:rsidRDefault="00F1598E" w:rsidP="00E50811">
            <w:pPr>
              <w:rPr>
                <w:sz w:val="20"/>
                <w:szCs w:val="20"/>
              </w:rPr>
            </w:pPr>
            <w:r w:rsidRPr="00F55596">
              <w:rPr>
                <w:sz w:val="20"/>
                <w:szCs w:val="20"/>
              </w:rPr>
              <w:br/>
              <w:t xml:space="preserve">25 </w:t>
            </w:r>
            <w:r>
              <w:rPr>
                <w:sz w:val="20"/>
                <w:szCs w:val="20"/>
              </w:rPr>
              <w:br/>
            </w:r>
            <w:r w:rsidR="00853F74">
              <w:rPr>
                <w:sz w:val="20"/>
                <w:szCs w:val="20"/>
              </w:rPr>
              <w:t>(17</w:t>
            </w:r>
            <w:r w:rsidRPr="00F55596">
              <w:rPr>
                <w:sz w:val="20"/>
                <w:szCs w:val="20"/>
              </w:rPr>
              <w:t>)</w:t>
            </w:r>
          </w:p>
        </w:tc>
        <w:tc>
          <w:tcPr>
            <w:tcW w:w="631" w:type="dxa"/>
          </w:tcPr>
          <w:p w14:paraId="3804E205" w14:textId="77777777" w:rsidR="00F1598E" w:rsidRPr="00F55596" w:rsidRDefault="00F1598E" w:rsidP="00E50811">
            <w:pPr>
              <w:rPr>
                <w:sz w:val="20"/>
                <w:szCs w:val="20"/>
              </w:rPr>
            </w:pPr>
            <w:r>
              <w:rPr>
                <w:sz w:val="20"/>
                <w:szCs w:val="20"/>
              </w:rPr>
              <w:br/>
              <w:t xml:space="preserve">13 </w:t>
            </w:r>
            <w:r>
              <w:rPr>
                <w:sz w:val="20"/>
                <w:szCs w:val="20"/>
              </w:rPr>
              <w:br/>
              <w:t>(7)</w:t>
            </w:r>
          </w:p>
        </w:tc>
        <w:tc>
          <w:tcPr>
            <w:tcW w:w="631" w:type="dxa"/>
          </w:tcPr>
          <w:p w14:paraId="2E5FA5A5" w14:textId="77777777" w:rsidR="00F1598E" w:rsidRPr="00F55596" w:rsidRDefault="00F1598E" w:rsidP="00E50811">
            <w:pPr>
              <w:rPr>
                <w:sz w:val="20"/>
                <w:szCs w:val="20"/>
              </w:rPr>
            </w:pPr>
            <w:r>
              <w:rPr>
                <w:sz w:val="20"/>
                <w:szCs w:val="20"/>
              </w:rPr>
              <w:br/>
              <w:t xml:space="preserve">5 </w:t>
            </w:r>
            <w:r>
              <w:rPr>
                <w:sz w:val="20"/>
                <w:szCs w:val="20"/>
              </w:rPr>
              <w:br/>
              <w:t>(1)</w:t>
            </w:r>
          </w:p>
        </w:tc>
      </w:tr>
    </w:tbl>
    <w:p w14:paraId="2B844A3A" w14:textId="77777777" w:rsidR="00F1598E" w:rsidRPr="009F6ED0" w:rsidRDefault="00F1598E" w:rsidP="00F1598E">
      <w:pPr>
        <w:spacing w:after="0" w:line="240" w:lineRule="auto"/>
        <w:rPr>
          <w:b/>
          <w:bCs/>
        </w:rPr>
      </w:pPr>
      <w:r>
        <w:br/>
      </w:r>
      <w:r w:rsidRPr="009F6ED0">
        <w:rPr>
          <w:b/>
          <w:bCs/>
        </w:rPr>
        <w:t>Inntekter og antall pr. bispedømme 2020</w:t>
      </w:r>
    </w:p>
    <w:tbl>
      <w:tblPr>
        <w:tblStyle w:val="Tabellrutenett"/>
        <w:tblW w:w="9209" w:type="dxa"/>
        <w:tblLook w:val="04A0" w:firstRow="1" w:lastRow="0" w:firstColumn="1" w:lastColumn="0" w:noHBand="0" w:noVBand="1"/>
      </w:tblPr>
      <w:tblGrid>
        <w:gridCol w:w="1138"/>
        <w:gridCol w:w="866"/>
        <w:gridCol w:w="766"/>
        <w:gridCol w:w="766"/>
        <w:gridCol w:w="766"/>
        <w:gridCol w:w="866"/>
        <w:gridCol w:w="766"/>
        <w:gridCol w:w="766"/>
        <w:gridCol w:w="866"/>
        <w:gridCol w:w="866"/>
        <w:gridCol w:w="777"/>
      </w:tblGrid>
      <w:tr w:rsidR="00F1598E" w:rsidRPr="00F55596" w14:paraId="7B732EEE" w14:textId="77777777" w:rsidTr="0020626B">
        <w:tc>
          <w:tcPr>
            <w:tcW w:w="1138" w:type="dxa"/>
          </w:tcPr>
          <w:p w14:paraId="0D2067F8" w14:textId="0ADCDBBC" w:rsidR="00F1598E" w:rsidRPr="00F55596" w:rsidRDefault="00853F74" w:rsidP="00E50811">
            <w:pPr>
              <w:rPr>
                <w:sz w:val="20"/>
                <w:szCs w:val="20"/>
              </w:rPr>
            </w:pPr>
            <w:r>
              <w:rPr>
                <w:sz w:val="20"/>
                <w:szCs w:val="20"/>
              </w:rPr>
              <w:t>2020</w:t>
            </w:r>
          </w:p>
        </w:tc>
        <w:tc>
          <w:tcPr>
            <w:tcW w:w="866" w:type="dxa"/>
          </w:tcPr>
          <w:p w14:paraId="2F4140DA" w14:textId="77777777" w:rsidR="00F1598E" w:rsidRPr="00F55596" w:rsidRDefault="00F1598E" w:rsidP="00E50811">
            <w:pPr>
              <w:rPr>
                <w:sz w:val="20"/>
                <w:szCs w:val="20"/>
              </w:rPr>
            </w:pPr>
            <w:r w:rsidRPr="00F55596">
              <w:rPr>
                <w:sz w:val="20"/>
                <w:szCs w:val="20"/>
              </w:rPr>
              <w:t>A&amp;T</w:t>
            </w:r>
          </w:p>
        </w:tc>
        <w:tc>
          <w:tcPr>
            <w:tcW w:w="766" w:type="dxa"/>
          </w:tcPr>
          <w:p w14:paraId="7561C807" w14:textId="77777777" w:rsidR="00F1598E" w:rsidRPr="00F55596" w:rsidRDefault="00F1598E" w:rsidP="00E50811">
            <w:pPr>
              <w:rPr>
                <w:sz w:val="20"/>
                <w:szCs w:val="20"/>
              </w:rPr>
            </w:pPr>
            <w:r w:rsidRPr="00F55596">
              <w:rPr>
                <w:sz w:val="20"/>
                <w:szCs w:val="20"/>
              </w:rPr>
              <w:t>Tunsb</w:t>
            </w:r>
          </w:p>
        </w:tc>
        <w:tc>
          <w:tcPr>
            <w:tcW w:w="767" w:type="dxa"/>
          </w:tcPr>
          <w:p w14:paraId="4343B6C5" w14:textId="77777777" w:rsidR="00F1598E" w:rsidRPr="00F55596" w:rsidRDefault="00F1598E" w:rsidP="00E50811">
            <w:pPr>
              <w:rPr>
                <w:sz w:val="20"/>
                <w:szCs w:val="20"/>
              </w:rPr>
            </w:pPr>
            <w:r w:rsidRPr="00F55596">
              <w:rPr>
                <w:sz w:val="20"/>
                <w:szCs w:val="20"/>
              </w:rPr>
              <w:t>Oslo</w:t>
            </w:r>
          </w:p>
        </w:tc>
        <w:tc>
          <w:tcPr>
            <w:tcW w:w="768" w:type="dxa"/>
          </w:tcPr>
          <w:p w14:paraId="17C771B8" w14:textId="77777777" w:rsidR="00F1598E" w:rsidRPr="00F55596" w:rsidRDefault="00F1598E" w:rsidP="00E50811">
            <w:pPr>
              <w:rPr>
                <w:sz w:val="20"/>
                <w:szCs w:val="20"/>
              </w:rPr>
            </w:pPr>
            <w:r w:rsidRPr="00F55596">
              <w:rPr>
                <w:sz w:val="20"/>
                <w:szCs w:val="20"/>
              </w:rPr>
              <w:t>Møre</w:t>
            </w:r>
          </w:p>
        </w:tc>
        <w:tc>
          <w:tcPr>
            <w:tcW w:w="866" w:type="dxa"/>
          </w:tcPr>
          <w:p w14:paraId="596264A0" w14:textId="77777777" w:rsidR="00F1598E" w:rsidRPr="00F55596" w:rsidRDefault="00F1598E" w:rsidP="00E50811">
            <w:pPr>
              <w:rPr>
                <w:sz w:val="20"/>
                <w:szCs w:val="20"/>
              </w:rPr>
            </w:pPr>
            <w:r w:rsidRPr="00F55596">
              <w:rPr>
                <w:sz w:val="20"/>
                <w:szCs w:val="20"/>
              </w:rPr>
              <w:t>Bjørg</w:t>
            </w:r>
          </w:p>
        </w:tc>
        <w:tc>
          <w:tcPr>
            <w:tcW w:w="719" w:type="dxa"/>
          </w:tcPr>
          <w:p w14:paraId="2EBB4497" w14:textId="77777777" w:rsidR="00F1598E" w:rsidRPr="00F55596" w:rsidRDefault="00F1598E" w:rsidP="00E50811">
            <w:pPr>
              <w:rPr>
                <w:sz w:val="20"/>
                <w:szCs w:val="20"/>
              </w:rPr>
            </w:pPr>
            <w:r w:rsidRPr="00F55596">
              <w:rPr>
                <w:sz w:val="20"/>
                <w:szCs w:val="20"/>
              </w:rPr>
              <w:t>Borg</w:t>
            </w:r>
          </w:p>
        </w:tc>
        <w:tc>
          <w:tcPr>
            <w:tcW w:w="718" w:type="dxa"/>
          </w:tcPr>
          <w:p w14:paraId="61430F00" w14:textId="77777777" w:rsidR="00F1598E" w:rsidRPr="00F55596" w:rsidRDefault="00F1598E" w:rsidP="00E50811">
            <w:pPr>
              <w:rPr>
                <w:sz w:val="20"/>
                <w:szCs w:val="20"/>
              </w:rPr>
            </w:pPr>
            <w:r w:rsidRPr="00F55596">
              <w:rPr>
                <w:sz w:val="20"/>
                <w:szCs w:val="20"/>
              </w:rPr>
              <w:t>S.H</w:t>
            </w:r>
          </w:p>
        </w:tc>
        <w:tc>
          <w:tcPr>
            <w:tcW w:w="866" w:type="dxa"/>
          </w:tcPr>
          <w:p w14:paraId="64A34B0A" w14:textId="77777777" w:rsidR="00F1598E" w:rsidRPr="00F55596" w:rsidRDefault="00F1598E" w:rsidP="00E50811">
            <w:pPr>
              <w:rPr>
                <w:sz w:val="20"/>
                <w:szCs w:val="20"/>
              </w:rPr>
            </w:pPr>
            <w:r w:rsidRPr="00F55596">
              <w:rPr>
                <w:sz w:val="20"/>
                <w:szCs w:val="20"/>
              </w:rPr>
              <w:t>Stav</w:t>
            </w:r>
          </w:p>
        </w:tc>
        <w:tc>
          <w:tcPr>
            <w:tcW w:w="866" w:type="dxa"/>
          </w:tcPr>
          <w:p w14:paraId="6782A8E1" w14:textId="77777777" w:rsidR="00F1598E" w:rsidRPr="00F55596" w:rsidRDefault="00F1598E" w:rsidP="00E50811">
            <w:pPr>
              <w:rPr>
                <w:sz w:val="20"/>
                <w:szCs w:val="20"/>
              </w:rPr>
            </w:pPr>
            <w:r>
              <w:rPr>
                <w:sz w:val="20"/>
                <w:szCs w:val="20"/>
              </w:rPr>
              <w:t>Nida</w:t>
            </w:r>
          </w:p>
        </w:tc>
        <w:tc>
          <w:tcPr>
            <w:tcW w:w="869" w:type="dxa"/>
          </w:tcPr>
          <w:p w14:paraId="1A95AF4F" w14:textId="77777777" w:rsidR="00F1598E" w:rsidRPr="00F55596" w:rsidRDefault="00F1598E" w:rsidP="00E50811">
            <w:pPr>
              <w:rPr>
                <w:sz w:val="20"/>
                <w:szCs w:val="20"/>
              </w:rPr>
            </w:pPr>
            <w:r>
              <w:rPr>
                <w:sz w:val="20"/>
                <w:szCs w:val="20"/>
              </w:rPr>
              <w:t>NH</w:t>
            </w:r>
          </w:p>
        </w:tc>
      </w:tr>
      <w:tr w:rsidR="00F1598E" w:rsidRPr="00F55596" w14:paraId="0A504286" w14:textId="77777777" w:rsidTr="0020626B">
        <w:tc>
          <w:tcPr>
            <w:tcW w:w="1138" w:type="dxa"/>
          </w:tcPr>
          <w:p w14:paraId="0CDC5A5F" w14:textId="77777777" w:rsidR="00F1598E" w:rsidRPr="00F55596" w:rsidRDefault="00F1598E" w:rsidP="00E50811">
            <w:pPr>
              <w:rPr>
                <w:sz w:val="20"/>
                <w:szCs w:val="20"/>
              </w:rPr>
            </w:pPr>
            <w:r w:rsidRPr="00F55596">
              <w:rPr>
                <w:sz w:val="20"/>
                <w:szCs w:val="20"/>
              </w:rPr>
              <w:t>Inntekter</w:t>
            </w:r>
          </w:p>
        </w:tc>
        <w:tc>
          <w:tcPr>
            <w:tcW w:w="866" w:type="dxa"/>
          </w:tcPr>
          <w:p w14:paraId="7C83B65D" w14:textId="77777777" w:rsidR="00F1598E" w:rsidRPr="00F55596" w:rsidRDefault="00F1598E" w:rsidP="00E50811">
            <w:pPr>
              <w:rPr>
                <w:sz w:val="20"/>
                <w:szCs w:val="20"/>
              </w:rPr>
            </w:pPr>
            <w:r>
              <w:rPr>
                <w:sz w:val="20"/>
                <w:szCs w:val="20"/>
              </w:rPr>
              <w:t>992.375</w:t>
            </w:r>
          </w:p>
        </w:tc>
        <w:tc>
          <w:tcPr>
            <w:tcW w:w="766" w:type="dxa"/>
          </w:tcPr>
          <w:p w14:paraId="63F81567" w14:textId="55E67298" w:rsidR="00F1598E" w:rsidRPr="00F55596" w:rsidRDefault="00F1598E" w:rsidP="00E50811">
            <w:pPr>
              <w:rPr>
                <w:sz w:val="20"/>
                <w:szCs w:val="20"/>
              </w:rPr>
            </w:pPr>
            <w:r>
              <w:rPr>
                <w:sz w:val="20"/>
                <w:szCs w:val="20"/>
              </w:rPr>
              <w:t>60</w:t>
            </w:r>
            <w:r w:rsidR="00853F74">
              <w:rPr>
                <w:sz w:val="20"/>
                <w:szCs w:val="20"/>
              </w:rPr>
              <w:t>.</w:t>
            </w:r>
            <w:r>
              <w:rPr>
                <w:sz w:val="20"/>
                <w:szCs w:val="20"/>
              </w:rPr>
              <w:t>613</w:t>
            </w:r>
          </w:p>
        </w:tc>
        <w:tc>
          <w:tcPr>
            <w:tcW w:w="767" w:type="dxa"/>
          </w:tcPr>
          <w:p w14:paraId="3F5A07EE" w14:textId="04C70D03" w:rsidR="00F1598E" w:rsidRPr="00F55596" w:rsidRDefault="00F1598E" w:rsidP="00E50811">
            <w:pPr>
              <w:rPr>
                <w:sz w:val="20"/>
                <w:szCs w:val="20"/>
              </w:rPr>
            </w:pPr>
            <w:r>
              <w:rPr>
                <w:sz w:val="20"/>
                <w:szCs w:val="20"/>
              </w:rPr>
              <w:t>38</w:t>
            </w:r>
            <w:r w:rsidR="00853F74">
              <w:rPr>
                <w:sz w:val="20"/>
                <w:szCs w:val="20"/>
              </w:rPr>
              <w:t>.</w:t>
            </w:r>
            <w:r>
              <w:rPr>
                <w:sz w:val="20"/>
                <w:szCs w:val="20"/>
              </w:rPr>
              <w:t>840</w:t>
            </w:r>
          </w:p>
        </w:tc>
        <w:tc>
          <w:tcPr>
            <w:tcW w:w="768" w:type="dxa"/>
          </w:tcPr>
          <w:p w14:paraId="7BEF046F" w14:textId="366DE71D" w:rsidR="00F1598E" w:rsidRPr="00F55596" w:rsidRDefault="00F1598E" w:rsidP="00E50811">
            <w:pPr>
              <w:rPr>
                <w:sz w:val="20"/>
                <w:szCs w:val="20"/>
              </w:rPr>
            </w:pPr>
            <w:r>
              <w:rPr>
                <w:sz w:val="20"/>
                <w:szCs w:val="20"/>
              </w:rPr>
              <w:t>52</w:t>
            </w:r>
            <w:r w:rsidR="0020626B">
              <w:rPr>
                <w:sz w:val="20"/>
                <w:szCs w:val="20"/>
              </w:rPr>
              <w:t>.</w:t>
            </w:r>
            <w:r>
              <w:rPr>
                <w:sz w:val="20"/>
                <w:szCs w:val="20"/>
              </w:rPr>
              <w:t>162</w:t>
            </w:r>
          </w:p>
        </w:tc>
        <w:tc>
          <w:tcPr>
            <w:tcW w:w="866" w:type="dxa"/>
          </w:tcPr>
          <w:p w14:paraId="1B8A0166" w14:textId="77777777" w:rsidR="00F1598E" w:rsidRPr="00F55596" w:rsidRDefault="00F1598E" w:rsidP="00E50811">
            <w:pPr>
              <w:rPr>
                <w:sz w:val="20"/>
                <w:szCs w:val="20"/>
              </w:rPr>
            </w:pPr>
            <w:r>
              <w:rPr>
                <w:sz w:val="20"/>
                <w:szCs w:val="20"/>
              </w:rPr>
              <w:t>157.906</w:t>
            </w:r>
          </w:p>
        </w:tc>
        <w:tc>
          <w:tcPr>
            <w:tcW w:w="719" w:type="dxa"/>
          </w:tcPr>
          <w:p w14:paraId="18646F43" w14:textId="24035BFD" w:rsidR="00F1598E" w:rsidRPr="00F55596" w:rsidRDefault="00F1598E" w:rsidP="00E50811">
            <w:pPr>
              <w:rPr>
                <w:sz w:val="20"/>
                <w:szCs w:val="20"/>
              </w:rPr>
            </w:pPr>
            <w:r>
              <w:rPr>
                <w:sz w:val="20"/>
                <w:szCs w:val="20"/>
              </w:rPr>
              <w:t>78</w:t>
            </w:r>
            <w:r w:rsidR="0020626B">
              <w:rPr>
                <w:sz w:val="20"/>
                <w:szCs w:val="20"/>
              </w:rPr>
              <w:t>.</w:t>
            </w:r>
            <w:r>
              <w:rPr>
                <w:sz w:val="20"/>
                <w:szCs w:val="20"/>
              </w:rPr>
              <w:t>309</w:t>
            </w:r>
          </w:p>
        </w:tc>
        <w:tc>
          <w:tcPr>
            <w:tcW w:w="718" w:type="dxa"/>
          </w:tcPr>
          <w:p w14:paraId="600D2292" w14:textId="2FECCC9B" w:rsidR="00F1598E" w:rsidRPr="00F55596" w:rsidRDefault="00F1598E" w:rsidP="00E50811">
            <w:pPr>
              <w:rPr>
                <w:sz w:val="20"/>
                <w:szCs w:val="20"/>
              </w:rPr>
            </w:pPr>
            <w:r>
              <w:rPr>
                <w:sz w:val="20"/>
                <w:szCs w:val="20"/>
              </w:rPr>
              <w:t>34</w:t>
            </w:r>
            <w:r w:rsidR="0020626B">
              <w:rPr>
                <w:sz w:val="20"/>
                <w:szCs w:val="20"/>
              </w:rPr>
              <w:t>.</w:t>
            </w:r>
            <w:r>
              <w:rPr>
                <w:sz w:val="20"/>
                <w:szCs w:val="20"/>
              </w:rPr>
              <w:t>286</w:t>
            </w:r>
          </w:p>
        </w:tc>
        <w:tc>
          <w:tcPr>
            <w:tcW w:w="866" w:type="dxa"/>
          </w:tcPr>
          <w:p w14:paraId="72F434F2" w14:textId="77777777" w:rsidR="00F1598E" w:rsidRPr="00F55596" w:rsidRDefault="00F1598E" w:rsidP="00E50811">
            <w:pPr>
              <w:rPr>
                <w:sz w:val="20"/>
                <w:szCs w:val="20"/>
              </w:rPr>
            </w:pPr>
            <w:r>
              <w:rPr>
                <w:sz w:val="20"/>
                <w:szCs w:val="20"/>
              </w:rPr>
              <w:t>139.754</w:t>
            </w:r>
          </w:p>
        </w:tc>
        <w:tc>
          <w:tcPr>
            <w:tcW w:w="866" w:type="dxa"/>
          </w:tcPr>
          <w:p w14:paraId="1DA01610" w14:textId="77777777" w:rsidR="00F1598E" w:rsidRPr="00F55596" w:rsidRDefault="00F1598E" w:rsidP="00E50811">
            <w:pPr>
              <w:rPr>
                <w:sz w:val="20"/>
                <w:szCs w:val="20"/>
              </w:rPr>
            </w:pPr>
            <w:r>
              <w:rPr>
                <w:sz w:val="20"/>
                <w:szCs w:val="20"/>
              </w:rPr>
              <w:t>353.527</w:t>
            </w:r>
          </w:p>
        </w:tc>
        <w:tc>
          <w:tcPr>
            <w:tcW w:w="869" w:type="dxa"/>
          </w:tcPr>
          <w:p w14:paraId="217B17E4" w14:textId="2A722C07" w:rsidR="00F1598E" w:rsidRPr="00F55596" w:rsidRDefault="00F1598E" w:rsidP="00E50811">
            <w:pPr>
              <w:rPr>
                <w:sz w:val="20"/>
                <w:szCs w:val="20"/>
              </w:rPr>
            </w:pPr>
            <w:r>
              <w:rPr>
                <w:sz w:val="20"/>
                <w:szCs w:val="20"/>
              </w:rPr>
              <w:t>19</w:t>
            </w:r>
            <w:r w:rsidR="0020626B">
              <w:rPr>
                <w:sz w:val="20"/>
                <w:szCs w:val="20"/>
              </w:rPr>
              <w:t>.</w:t>
            </w:r>
            <w:r>
              <w:rPr>
                <w:sz w:val="20"/>
                <w:szCs w:val="20"/>
              </w:rPr>
              <w:t>544</w:t>
            </w:r>
          </w:p>
        </w:tc>
      </w:tr>
      <w:tr w:rsidR="00F1598E" w:rsidRPr="00F55596" w14:paraId="0E0DB7DF" w14:textId="77777777" w:rsidTr="0020626B">
        <w:trPr>
          <w:trHeight w:val="540"/>
        </w:trPr>
        <w:tc>
          <w:tcPr>
            <w:tcW w:w="1138" w:type="dxa"/>
          </w:tcPr>
          <w:p w14:paraId="4414C71A" w14:textId="38C546A3" w:rsidR="00F1598E" w:rsidRPr="00F55596" w:rsidRDefault="00853F74" w:rsidP="00853F74">
            <w:pPr>
              <w:spacing w:line="240" w:lineRule="auto"/>
              <w:rPr>
                <w:sz w:val="20"/>
                <w:szCs w:val="20"/>
              </w:rPr>
            </w:pPr>
            <w:r>
              <w:rPr>
                <w:sz w:val="20"/>
                <w:szCs w:val="20"/>
              </w:rPr>
              <w:t>Menigheter</w:t>
            </w:r>
          </w:p>
        </w:tc>
        <w:tc>
          <w:tcPr>
            <w:tcW w:w="866" w:type="dxa"/>
          </w:tcPr>
          <w:p w14:paraId="6C2701AA" w14:textId="790FDA96" w:rsidR="00F1598E" w:rsidRPr="00F55596" w:rsidRDefault="00F1598E" w:rsidP="00E50811">
            <w:pPr>
              <w:rPr>
                <w:sz w:val="20"/>
                <w:szCs w:val="20"/>
              </w:rPr>
            </w:pPr>
            <w:r>
              <w:rPr>
                <w:sz w:val="20"/>
                <w:szCs w:val="20"/>
              </w:rPr>
              <w:t>45</w:t>
            </w:r>
          </w:p>
        </w:tc>
        <w:tc>
          <w:tcPr>
            <w:tcW w:w="766" w:type="dxa"/>
          </w:tcPr>
          <w:p w14:paraId="2F77D311" w14:textId="7041A8B8" w:rsidR="00F1598E" w:rsidRPr="00F55596" w:rsidRDefault="00F1598E" w:rsidP="00E50811">
            <w:pPr>
              <w:rPr>
                <w:sz w:val="20"/>
                <w:szCs w:val="20"/>
              </w:rPr>
            </w:pPr>
            <w:r>
              <w:rPr>
                <w:sz w:val="20"/>
                <w:szCs w:val="20"/>
              </w:rPr>
              <w:t>9</w:t>
            </w:r>
          </w:p>
        </w:tc>
        <w:tc>
          <w:tcPr>
            <w:tcW w:w="767" w:type="dxa"/>
          </w:tcPr>
          <w:p w14:paraId="22E8F3D7" w14:textId="21F2A158" w:rsidR="00F1598E" w:rsidRPr="00F55596" w:rsidRDefault="00F1598E" w:rsidP="00E50811">
            <w:pPr>
              <w:rPr>
                <w:sz w:val="20"/>
                <w:szCs w:val="20"/>
              </w:rPr>
            </w:pPr>
            <w:r>
              <w:rPr>
                <w:sz w:val="20"/>
                <w:szCs w:val="20"/>
              </w:rPr>
              <w:t>8</w:t>
            </w:r>
          </w:p>
        </w:tc>
        <w:tc>
          <w:tcPr>
            <w:tcW w:w="768" w:type="dxa"/>
          </w:tcPr>
          <w:p w14:paraId="5DDF4F94" w14:textId="7424623D" w:rsidR="00F1598E" w:rsidRPr="00F55596" w:rsidRDefault="00F1598E" w:rsidP="00E50811">
            <w:pPr>
              <w:rPr>
                <w:sz w:val="20"/>
                <w:szCs w:val="20"/>
              </w:rPr>
            </w:pPr>
            <w:r>
              <w:rPr>
                <w:sz w:val="20"/>
                <w:szCs w:val="20"/>
              </w:rPr>
              <w:t>12</w:t>
            </w:r>
          </w:p>
        </w:tc>
        <w:tc>
          <w:tcPr>
            <w:tcW w:w="866" w:type="dxa"/>
          </w:tcPr>
          <w:p w14:paraId="5AFCBDC0" w14:textId="32D9C3FC" w:rsidR="00F1598E" w:rsidRPr="00F55596" w:rsidRDefault="00F1598E" w:rsidP="00E50811">
            <w:pPr>
              <w:rPr>
                <w:sz w:val="20"/>
                <w:szCs w:val="20"/>
              </w:rPr>
            </w:pPr>
            <w:r>
              <w:rPr>
                <w:sz w:val="20"/>
                <w:szCs w:val="20"/>
              </w:rPr>
              <w:t>39</w:t>
            </w:r>
          </w:p>
        </w:tc>
        <w:tc>
          <w:tcPr>
            <w:tcW w:w="719" w:type="dxa"/>
          </w:tcPr>
          <w:p w14:paraId="2D08588D" w14:textId="67405DE8" w:rsidR="00F1598E" w:rsidRPr="00F55596" w:rsidRDefault="00F1598E" w:rsidP="00E50811">
            <w:pPr>
              <w:rPr>
                <w:sz w:val="20"/>
                <w:szCs w:val="20"/>
              </w:rPr>
            </w:pPr>
            <w:r>
              <w:rPr>
                <w:sz w:val="20"/>
                <w:szCs w:val="20"/>
              </w:rPr>
              <w:t>3</w:t>
            </w:r>
          </w:p>
        </w:tc>
        <w:tc>
          <w:tcPr>
            <w:tcW w:w="718" w:type="dxa"/>
          </w:tcPr>
          <w:p w14:paraId="3439DEFB" w14:textId="2B5F7270" w:rsidR="00F1598E" w:rsidRPr="00F55596" w:rsidRDefault="00F1598E" w:rsidP="00E50811">
            <w:pPr>
              <w:rPr>
                <w:sz w:val="20"/>
                <w:szCs w:val="20"/>
              </w:rPr>
            </w:pPr>
            <w:r>
              <w:rPr>
                <w:sz w:val="20"/>
                <w:szCs w:val="20"/>
              </w:rPr>
              <w:t>10</w:t>
            </w:r>
          </w:p>
        </w:tc>
        <w:tc>
          <w:tcPr>
            <w:tcW w:w="866" w:type="dxa"/>
          </w:tcPr>
          <w:p w14:paraId="2B2C2125" w14:textId="07B5EE69" w:rsidR="00F1598E" w:rsidRPr="00F55596" w:rsidRDefault="00F1598E" w:rsidP="00E50811">
            <w:pPr>
              <w:rPr>
                <w:sz w:val="20"/>
                <w:szCs w:val="20"/>
              </w:rPr>
            </w:pPr>
            <w:r>
              <w:rPr>
                <w:sz w:val="20"/>
                <w:szCs w:val="20"/>
              </w:rPr>
              <w:t>31</w:t>
            </w:r>
          </w:p>
        </w:tc>
        <w:tc>
          <w:tcPr>
            <w:tcW w:w="866" w:type="dxa"/>
          </w:tcPr>
          <w:p w14:paraId="570059BD" w14:textId="6987DCB4" w:rsidR="00F1598E" w:rsidRPr="00F55596" w:rsidRDefault="00F1598E" w:rsidP="00E50811">
            <w:pPr>
              <w:rPr>
                <w:sz w:val="20"/>
                <w:szCs w:val="20"/>
              </w:rPr>
            </w:pPr>
            <w:r>
              <w:rPr>
                <w:sz w:val="20"/>
                <w:szCs w:val="20"/>
              </w:rPr>
              <w:t>7</w:t>
            </w:r>
          </w:p>
        </w:tc>
        <w:tc>
          <w:tcPr>
            <w:tcW w:w="869" w:type="dxa"/>
          </w:tcPr>
          <w:p w14:paraId="437F8492" w14:textId="1C2AC5D3" w:rsidR="00F1598E" w:rsidRPr="00F55596" w:rsidRDefault="00F1598E" w:rsidP="00E50811">
            <w:pPr>
              <w:rPr>
                <w:sz w:val="20"/>
                <w:szCs w:val="20"/>
              </w:rPr>
            </w:pPr>
            <w:r>
              <w:rPr>
                <w:sz w:val="20"/>
                <w:szCs w:val="20"/>
              </w:rPr>
              <w:t>27</w:t>
            </w:r>
          </w:p>
        </w:tc>
      </w:tr>
    </w:tbl>
    <w:p w14:paraId="3F53AFE4" w14:textId="7F0BA417" w:rsidR="00F1598E" w:rsidRPr="009F6ED0" w:rsidRDefault="00F1598E" w:rsidP="00F1598E">
      <w:pPr>
        <w:spacing w:after="0" w:line="240" w:lineRule="auto"/>
        <w:rPr>
          <w:b/>
          <w:bCs/>
        </w:rPr>
      </w:pPr>
      <w:r>
        <w:rPr>
          <w:b/>
          <w:bCs/>
        </w:rPr>
        <w:br/>
      </w:r>
      <w:r w:rsidR="00853F74">
        <w:rPr>
          <w:b/>
          <w:bCs/>
        </w:rPr>
        <w:t>Enkeltaksjoner som har samlet inn</w:t>
      </w:r>
      <w:r w:rsidRPr="009F6ED0">
        <w:rPr>
          <w:b/>
          <w:bCs/>
        </w:rPr>
        <w:t xml:space="preserve"> over 100.000:</w:t>
      </w:r>
    </w:p>
    <w:tbl>
      <w:tblPr>
        <w:tblStyle w:val="Tabellrutenett"/>
        <w:tblW w:w="0" w:type="auto"/>
        <w:tblLook w:val="04A0" w:firstRow="1" w:lastRow="0" w:firstColumn="1" w:lastColumn="0" w:noHBand="0" w:noVBand="1"/>
      </w:tblPr>
      <w:tblGrid>
        <w:gridCol w:w="3018"/>
        <w:gridCol w:w="3214"/>
        <w:gridCol w:w="2824"/>
      </w:tblGrid>
      <w:tr w:rsidR="00F1598E" w14:paraId="5A517414" w14:textId="77777777" w:rsidTr="0020626B">
        <w:tc>
          <w:tcPr>
            <w:tcW w:w="3018" w:type="dxa"/>
          </w:tcPr>
          <w:p w14:paraId="088F9B6B" w14:textId="77777777" w:rsidR="00F1598E" w:rsidRDefault="00F1598E" w:rsidP="00E50811"/>
        </w:tc>
        <w:tc>
          <w:tcPr>
            <w:tcW w:w="3214" w:type="dxa"/>
          </w:tcPr>
          <w:p w14:paraId="084A0655" w14:textId="77777777" w:rsidR="00F1598E" w:rsidRDefault="00F1598E" w:rsidP="00E50811">
            <w:r>
              <w:t>2020</w:t>
            </w:r>
          </w:p>
        </w:tc>
        <w:tc>
          <w:tcPr>
            <w:tcW w:w="2824" w:type="dxa"/>
          </w:tcPr>
          <w:p w14:paraId="1AE18FAC" w14:textId="77777777" w:rsidR="00F1598E" w:rsidRDefault="00F1598E" w:rsidP="00E50811">
            <w:r>
              <w:t>2021</w:t>
            </w:r>
          </w:p>
        </w:tc>
      </w:tr>
      <w:tr w:rsidR="00F1598E" w14:paraId="3F154097" w14:textId="77777777" w:rsidTr="0020626B">
        <w:tc>
          <w:tcPr>
            <w:tcW w:w="3018" w:type="dxa"/>
          </w:tcPr>
          <w:p w14:paraId="01DEFEC2" w14:textId="77777777" w:rsidR="00F1598E" w:rsidRDefault="00F1598E" w:rsidP="00E50811">
            <w:r>
              <w:t>Store gaver pr bispedømme</w:t>
            </w:r>
          </w:p>
        </w:tc>
        <w:tc>
          <w:tcPr>
            <w:tcW w:w="3214" w:type="dxa"/>
          </w:tcPr>
          <w:p w14:paraId="62E003A2" w14:textId="6AE00651" w:rsidR="00F1598E" w:rsidRDefault="00853F74" w:rsidP="00853F74">
            <w:r>
              <w:t xml:space="preserve">Agder og Telemark: 421.000 </w:t>
            </w:r>
            <w:r>
              <w:br/>
              <w:t>Nidaros: 319.000</w:t>
            </w:r>
            <w:r w:rsidR="00F1598E">
              <w:t xml:space="preserve"> (ikke SMM)</w:t>
            </w:r>
          </w:p>
        </w:tc>
        <w:tc>
          <w:tcPr>
            <w:tcW w:w="2824" w:type="dxa"/>
          </w:tcPr>
          <w:p w14:paraId="46F84FAB" w14:textId="05510091" w:rsidR="00F1598E" w:rsidRDefault="00853F74" w:rsidP="00853F74">
            <w:r>
              <w:t>2021: Borg: 170.000</w:t>
            </w:r>
          </w:p>
        </w:tc>
      </w:tr>
      <w:tr w:rsidR="00F1598E" w14:paraId="18116837" w14:textId="77777777" w:rsidTr="0020626B">
        <w:tc>
          <w:tcPr>
            <w:tcW w:w="3018" w:type="dxa"/>
          </w:tcPr>
          <w:p w14:paraId="2D5BC928" w14:textId="77777777" w:rsidR="00F1598E" w:rsidRDefault="00F1598E" w:rsidP="00E50811">
            <w:r>
              <w:t>Store gaver totalt</w:t>
            </w:r>
          </w:p>
        </w:tc>
        <w:tc>
          <w:tcPr>
            <w:tcW w:w="3214" w:type="dxa"/>
          </w:tcPr>
          <w:p w14:paraId="3540D761" w14:textId="0DDD7032" w:rsidR="00F1598E" w:rsidRDefault="00853F74" w:rsidP="00853F74">
            <w:r>
              <w:t>740.000</w:t>
            </w:r>
          </w:p>
        </w:tc>
        <w:tc>
          <w:tcPr>
            <w:tcW w:w="2824" w:type="dxa"/>
          </w:tcPr>
          <w:p w14:paraId="13936188" w14:textId="5F3FC2E5" w:rsidR="00F1598E" w:rsidRDefault="00853F74" w:rsidP="00853F74">
            <w:r>
              <w:t>170.000</w:t>
            </w:r>
          </w:p>
        </w:tc>
      </w:tr>
      <w:tr w:rsidR="00F1598E" w14:paraId="52E7AA09" w14:textId="77777777" w:rsidTr="0020626B">
        <w:tc>
          <w:tcPr>
            <w:tcW w:w="3018" w:type="dxa"/>
          </w:tcPr>
          <w:p w14:paraId="6ED7B63B" w14:textId="77777777" w:rsidR="00F1598E" w:rsidRDefault="00F1598E" w:rsidP="00E50811">
            <w:r>
              <w:t>Total pr år</w:t>
            </w:r>
          </w:p>
        </w:tc>
        <w:tc>
          <w:tcPr>
            <w:tcW w:w="3214" w:type="dxa"/>
          </w:tcPr>
          <w:p w14:paraId="6476F4BC" w14:textId="77777777" w:rsidR="00F1598E" w:rsidRDefault="00F1598E" w:rsidP="00E50811">
            <w:r>
              <w:t>1.927.316</w:t>
            </w:r>
          </w:p>
        </w:tc>
        <w:tc>
          <w:tcPr>
            <w:tcW w:w="2824" w:type="dxa"/>
          </w:tcPr>
          <w:p w14:paraId="4297C184" w14:textId="33D5300F" w:rsidR="00F1598E" w:rsidRDefault="00853F74" w:rsidP="00853F74">
            <w:r>
              <w:t>1.612.164</w:t>
            </w:r>
          </w:p>
        </w:tc>
      </w:tr>
    </w:tbl>
    <w:p w14:paraId="4C0EA79C" w14:textId="733FE9EF" w:rsidR="00BB0540" w:rsidRDefault="00041AF1" w:rsidP="007826D0">
      <w:r>
        <w:rPr>
          <w:b/>
          <w:bCs/>
        </w:rPr>
        <w:br/>
      </w:r>
      <w:r w:rsidR="00213057">
        <w:t>Vi ser at a</w:t>
      </w:r>
      <w:r w:rsidR="00AF0EF0">
        <w:t xml:space="preserve">ntall menigheter som var med i </w:t>
      </w:r>
      <w:r w:rsidR="008163D2">
        <w:t xml:space="preserve">årets </w:t>
      </w:r>
      <w:r w:rsidR="00AF0EF0">
        <w:t>aksjon</w:t>
      </w:r>
      <w:r w:rsidR="00D86F0B">
        <w:t>,</w:t>
      </w:r>
      <w:r w:rsidR="00AF0EF0">
        <w:t xml:space="preserve"> var </w:t>
      </w:r>
      <w:r w:rsidR="00FE491D">
        <w:t xml:space="preserve">tilnærmet det </w:t>
      </w:r>
      <w:r w:rsidR="00C870DD">
        <w:t xml:space="preserve">samme som i </w:t>
      </w:r>
      <w:r w:rsidR="00003B0A">
        <w:t>2020</w:t>
      </w:r>
      <w:r w:rsidR="0020626B">
        <w:t xml:space="preserve"> </w:t>
      </w:r>
      <w:r w:rsidR="00C202C8">
        <w:t xml:space="preserve">– </w:t>
      </w:r>
      <w:r w:rsidR="00AF0EF0">
        <w:t>183</w:t>
      </w:r>
      <w:r w:rsidR="00654A21">
        <w:t xml:space="preserve"> </w:t>
      </w:r>
      <w:r w:rsidR="00003B0A">
        <w:t>(</w:t>
      </w:r>
      <w:r w:rsidR="00654A21">
        <w:t>2021</w:t>
      </w:r>
      <w:r w:rsidR="00003B0A">
        <w:t>)</w:t>
      </w:r>
      <w:r w:rsidR="00654A21">
        <w:t xml:space="preserve"> </w:t>
      </w:r>
      <w:r w:rsidR="008163D2">
        <w:t xml:space="preserve">mot </w:t>
      </w:r>
      <w:r w:rsidR="00AF0EF0">
        <w:t>185</w:t>
      </w:r>
      <w:r w:rsidR="008163D2">
        <w:t xml:space="preserve"> </w:t>
      </w:r>
      <w:r w:rsidR="00F501A8">
        <w:t>(</w:t>
      </w:r>
      <w:r w:rsidR="008163D2">
        <w:t>2020</w:t>
      </w:r>
      <w:r w:rsidR="00F501A8">
        <w:t>)</w:t>
      </w:r>
      <w:r w:rsidR="00AF0EF0">
        <w:t xml:space="preserve">. Engasjementet </w:t>
      </w:r>
      <w:r w:rsidR="0061065A">
        <w:t xml:space="preserve">i </w:t>
      </w:r>
      <w:r w:rsidR="00AF0EF0">
        <w:t>bispedømmene</w:t>
      </w:r>
      <w:r w:rsidR="0061065A">
        <w:t xml:space="preserve"> og blant </w:t>
      </w:r>
      <w:r w:rsidR="00AF0EF0">
        <w:t xml:space="preserve">misjonsrådgiverne har </w:t>
      </w:r>
      <w:r w:rsidR="00213057">
        <w:t xml:space="preserve">hatt </w:t>
      </w:r>
      <w:r w:rsidR="00AF0EF0">
        <w:t>stor betydning for rekrut</w:t>
      </w:r>
      <w:r w:rsidR="00D86F0B">
        <w:t>t</w:t>
      </w:r>
      <w:r w:rsidR="00AF0EF0">
        <w:t xml:space="preserve">ering og oppfølging. </w:t>
      </w:r>
      <w:r w:rsidR="00BB0540">
        <w:t xml:space="preserve">Samarbeidet med organisasjonene har vært meget godt. Vi ser konturene av at aksjonen åpner dører for økt samarbeid mellom menighet og organisasjon, noe som vil kunne få stor betydning for misjonsavtalene framover. </w:t>
      </w:r>
    </w:p>
    <w:p w14:paraId="0D7440F9" w14:textId="51936721" w:rsidR="007826D0" w:rsidRDefault="00AF0EF0" w:rsidP="007826D0">
      <w:r>
        <w:t>Snittet pr</w:t>
      </w:r>
      <w:r w:rsidR="00D86F0B">
        <w:t>.</w:t>
      </w:r>
      <w:r>
        <w:t xml:space="preserve"> menighet </w:t>
      </w:r>
      <w:r w:rsidR="007826D0">
        <w:t xml:space="preserve">i aksjonen </w:t>
      </w:r>
      <w:r w:rsidR="00C60282">
        <w:t xml:space="preserve">har økt </w:t>
      </w:r>
      <w:r>
        <w:t>fra kr.10</w:t>
      </w:r>
      <w:r w:rsidR="00D86F0B">
        <w:t>.</w:t>
      </w:r>
      <w:r>
        <w:t>475</w:t>
      </w:r>
      <w:r w:rsidR="003304CD">
        <w:t xml:space="preserve"> (2020)</w:t>
      </w:r>
      <w:r w:rsidR="00C60282">
        <w:t xml:space="preserve"> til kr.11</w:t>
      </w:r>
      <w:r w:rsidR="00D86F0B">
        <w:t>.</w:t>
      </w:r>
      <w:r w:rsidR="00C60282">
        <w:t>705</w:t>
      </w:r>
      <w:r w:rsidR="003304CD">
        <w:t xml:space="preserve"> (2021</w:t>
      </w:r>
      <w:r w:rsidR="00D86F0B">
        <w:t xml:space="preserve">). Når vi ser bort fra </w:t>
      </w:r>
      <w:r w:rsidR="00C60282">
        <w:t>ekstraordinære innsamlingsresulta</w:t>
      </w:r>
      <w:r w:rsidR="00BB0540">
        <w:t>ter fra</w:t>
      </w:r>
      <w:r w:rsidR="00C60282">
        <w:t xml:space="preserve"> tre menigheter i 2020</w:t>
      </w:r>
      <w:r w:rsidR="00BB0540">
        <w:t>,</w:t>
      </w:r>
      <w:r w:rsidR="00C60282">
        <w:t xml:space="preserve"> som vi ikke fikk i 2021, bli</w:t>
      </w:r>
      <w:r w:rsidR="00BB0540">
        <w:t>r gjennomsnittsresultatet pr</w:t>
      </w:r>
      <w:r w:rsidR="00D86F0B">
        <w:t>.</w:t>
      </w:r>
      <w:r w:rsidR="00BB0540">
        <w:t xml:space="preserve"> menighet</w:t>
      </w:r>
      <w:r w:rsidR="00C60282">
        <w:t xml:space="preserve"> enda bedre. </w:t>
      </w:r>
      <w:r w:rsidR="00BB0540">
        <w:t>Vi er på rett vei.</w:t>
      </w:r>
      <w:r w:rsidR="00A85069">
        <w:t xml:space="preserve"> </w:t>
      </w:r>
      <w:r w:rsidR="00006A7A">
        <w:t>Gjennomsnittsbeløpet for en menighetsavtale i et normalår, f</w:t>
      </w:r>
      <w:r w:rsidR="007826D0">
        <w:t>ø</w:t>
      </w:r>
      <w:r w:rsidR="00006A7A">
        <w:t>r korona</w:t>
      </w:r>
      <w:r w:rsidR="00D578B5">
        <w:t>,</w:t>
      </w:r>
      <w:r w:rsidR="00006A7A">
        <w:t xml:space="preserve"> l</w:t>
      </w:r>
      <w:r w:rsidR="000E4FD3">
        <w:t>å</w:t>
      </w:r>
      <w:r w:rsidR="00006A7A">
        <w:t xml:space="preserve"> på ca. </w:t>
      </w:r>
      <w:r w:rsidR="000E4FD3">
        <w:t>kr.</w:t>
      </w:r>
      <w:r w:rsidR="00006A7A">
        <w:t>16</w:t>
      </w:r>
      <w:r w:rsidR="00D86F0B">
        <w:t>.</w:t>
      </w:r>
      <w:r w:rsidR="00006A7A">
        <w:t>000</w:t>
      </w:r>
      <w:r w:rsidR="005E2355">
        <w:t>. I</w:t>
      </w:r>
      <w:r w:rsidR="000E4FD3">
        <w:t xml:space="preserve"> </w:t>
      </w:r>
      <w:r w:rsidR="000E4FD3">
        <w:lastRenderedPageBreak/>
        <w:t xml:space="preserve">2020 var </w:t>
      </w:r>
      <w:r w:rsidR="00F94BFD">
        <w:t xml:space="preserve">dette </w:t>
      </w:r>
      <w:r w:rsidR="000E4FD3">
        <w:t>beløpet redusert til kr.14</w:t>
      </w:r>
      <w:r w:rsidR="00D86F0B">
        <w:t>.</w:t>
      </w:r>
      <w:r w:rsidR="000E4FD3">
        <w:t>884,-</w:t>
      </w:r>
      <w:r w:rsidR="00A85069">
        <w:t>.</w:t>
      </w:r>
      <w:r w:rsidR="00006A7A">
        <w:t xml:space="preserve"> </w:t>
      </w:r>
      <w:r w:rsidR="00D86F0B">
        <w:t>Dette viser at aksjonen bidrar vesentlig for å sikre inntektene fra misjonsavtalen.</w:t>
      </w:r>
    </w:p>
    <w:p w14:paraId="58C15EE6" w14:textId="5634827F" w:rsidR="007826D0" w:rsidRDefault="00155226" w:rsidP="007826D0">
      <w:r w:rsidRPr="002405E3">
        <w:rPr>
          <w:b/>
          <w:bCs/>
        </w:rPr>
        <w:t>Innhold og digital kompetanse</w:t>
      </w:r>
      <w:r>
        <w:br/>
        <w:t xml:space="preserve">Gjennom aksjonen har </w:t>
      </w:r>
      <w:r w:rsidR="00FD1A18">
        <w:t>menighetens misjonsavtale</w:t>
      </w:r>
      <w:r>
        <w:t xml:space="preserve"> blitt synliggjort </w:t>
      </w:r>
      <w:r w:rsidR="001941C5">
        <w:t xml:space="preserve">og </w:t>
      </w:r>
      <w:r w:rsidR="00C55563">
        <w:t>misjonens plass i</w:t>
      </w:r>
      <w:r>
        <w:t xml:space="preserve"> menighetsarbeid</w:t>
      </w:r>
      <w:r w:rsidR="00BA2C12">
        <w:t>et</w:t>
      </w:r>
      <w:r w:rsidR="00EE31AC">
        <w:t xml:space="preserve"> er styrket</w:t>
      </w:r>
      <w:r>
        <w:t xml:space="preserve">. En slik synliggjøring er viktig. Aksjonen er med </w:t>
      </w:r>
      <w:r w:rsidR="00FD1A18">
        <w:t>å styrke</w:t>
      </w:r>
      <w:r>
        <w:t xml:space="preserve"> forbindelseslinjen mellom arbeidet lokalt og internasjonalt. Det er med </w:t>
      </w:r>
      <w:r w:rsidR="00FD1A18">
        <w:t>på</w:t>
      </w:r>
      <w:r w:rsidR="00EE31AC">
        <w:t xml:space="preserve"> å vektlegge menighetenes misjonale </w:t>
      </w:r>
      <w:r w:rsidR="00041AF1">
        <w:t xml:space="preserve">perspektiv lokalt og globalt. </w:t>
      </w:r>
      <w:r w:rsidR="00EE31AC">
        <w:br/>
      </w:r>
      <w:r w:rsidR="00041AF1">
        <w:br/>
      </w:r>
      <w:r w:rsidR="00FD1A18">
        <w:t xml:space="preserve">Det har </w:t>
      </w:r>
      <w:r w:rsidR="00EE31AC">
        <w:t xml:space="preserve">også </w:t>
      </w:r>
      <w:r w:rsidR="00FD1A18">
        <w:t xml:space="preserve">vært et mål for aksjonen å styrke menighetenes digitale kompetanse både på innsamling og formidling. Mange menigheter har fått trening og opplærling i å bruke digitale plattformer og hjelp til å formidle budskap via sosiale medier. Dette er svært verdifullt. </w:t>
      </w:r>
      <w:r w:rsidR="00FD1A18">
        <w:br/>
        <w:t>Innsamlingsprofilering har hjulpet menighete</w:t>
      </w:r>
      <w:r w:rsidR="00096E7A">
        <w:t>ne</w:t>
      </w:r>
      <w:r w:rsidR="00FD1A18">
        <w:t xml:space="preserve"> til å spisse </w:t>
      </w:r>
      <w:r w:rsidR="00096E7A">
        <w:t xml:space="preserve">sitt </w:t>
      </w:r>
      <w:r w:rsidR="00FD1A18">
        <w:t xml:space="preserve">budskap til engasjement. </w:t>
      </w:r>
      <w:r w:rsidR="00ED7CFA">
        <w:t>A</w:t>
      </w:r>
      <w:r w:rsidR="00FD1A18">
        <w:t>ksjonen har</w:t>
      </w:r>
      <w:r w:rsidR="00ED7CFA">
        <w:t xml:space="preserve"> </w:t>
      </w:r>
      <w:r w:rsidR="00FD1A18">
        <w:t>vektlagt menighetens eget kall til å være mis</w:t>
      </w:r>
      <w:r w:rsidR="00EE31AC">
        <w:t>j</w:t>
      </w:r>
      <w:r w:rsidR="00FD1A18">
        <w:t>onal</w:t>
      </w:r>
      <w:r w:rsidR="00ED7CFA">
        <w:t>,</w:t>
      </w:r>
      <w:r w:rsidR="00FD1A18">
        <w:t xml:space="preserve"> både i egen kultur og tverrkulturelt.   </w:t>
      </w:r>
    </w:p>
    <w:p w14:paraId="73F8CD56" w14:textId="3351F684" w:rsidR="007B3E81" w:rsidRDefault="00B41823" w:rsidP="007826D0">
      <w:r w:rsidRPr="00754388">
        <w:rPr>
          <w:b/>
          <w:bCs/>
        </w:rPr>
        <w:t xml:space="preserve">Ressurser </w:t>
      </w:r>
      <w:r>
        <w:br/>
        <w:t>Aksjonen har vært drevet</w:t>
      </w:r>
      <w:r w:rsidR="00EE31AC">
        <w:t xml:space="preserve"> ut fra en egen nettside og en F</w:t>
      </w:r>
      <w:r>
        <w:t>acebook</w:t>
      </w:r>
      <w:r w:rsidR="00EE31AC">
        <w:t>-</w:t>
      </w:r>
      <w:r>
        <w:t>side</w:t>
      </w:r>
      <w:r w:rsidR="00754388">
        <w:t xml:space="preserve"> med ca</w:t>
      </w:r>
      <w:r w:rsidR="00EE31AC">
        <w:t>.</w:t>
      </w:r>
      <w:r w:rsidR="00754388">
        <w:t xml:space="preserve"> 1850 følgere</w:t>
      </w:r>
      <w:r>
        <w:t xml:space="preserve">. I </w:t>
      </w:r>
      <w:r w:rsidR="00754388">
        <w:t>tillegg</w:t>
      </w:r>
      <w:r>
        <w:t xml:space="preserve"> har det vært sendt ut informasjon og </w:t>
      </w:r>
      <w:r w:rsidR="00754388">
        <w:t>veiledning</w:t>
      </w:r>
      <w:r>
        <w:t xml:space="preserve"> fra det enkelte bispedømme. Aksjon</w:t>
      </w:r>
      <w:r w:rsidR="00754388">
        <w:t>s</w:t>
      </w:r>
      <w:r>
        <w:t>gruppen har laget felle</w:t>
      </w:r>
      <w:r w:rsidR="00A85069">
        <w:t xml:space="preserve">s </w:t>
      </w:r>
      <w:r>
        <w:t>materiell</w:t>
      </w:r>
      <w:r w:rsidR="004610C3">
        <w:t>,</w:t>
      </w:r>
      <w:r>
        <w:t xml:space="preserve"> slik som: Prekenknagger for aksjonsper</w:t>
      </w:r>
      <w:r w:rsidR="00754388">
        <w:t>io</w:t>
      </w:r>
      <w:r w:rsidR="00EE31AC">
        <w:t>den, eget temanummer i Luthersk K</w:t>
      </w:r>
      <w:r w:rsidR="00754388">
        <w:t>irketiden</w:t>
      </w:r>
      <w:r w:rsidR="00EE31AC">
        <w:t>d</w:t>
      </w:r>
      <w:r w:rsidR="00754388">
        <w:t xml:space="preserve">e, annonsekampanje i </w:t>
      </w:r>
      <w:r w:rsidR="00B40376">
        <w:t>V</w:t>
      </w:r>
      <w:r w:rsidR="00EE31AC">
        <w:t>årt L</w:t>
      </w:r>
      <w:r w:rsidR="00754388">
        <w:t xml:space="preserve">and og annonser til sosiale medier. Aksjonen har også fått redaksjonell omtale både nasjonalt og regionalt. </w:t>
      </w:r>
      <w:r w:rsidR="002207C4">
        <w:t xml:space="preserve">I tillegg </w:t>
      </w:r>
      <w:r w:rsidR="00614848">
        <w:t>har det blitt gjennomført</w:t>
      </w:r>
      <w:r w:rsidR="00EE31AC">
        <w:t xml:space="preserve"> to web-c</w:t>
      </w:r>
      <w:r w:rsidR="00CF7E6D">
        <w:t>afe</w:t>
      </w:r>
      <w:r w:rsidR="00FE108B">
        <w:t>møter rundt aksjonen.</w:t>
      </w:r>
      <w:r w:rsidR="001C66FB">
        <w:t xml:space="preserve"> </w:t>
      </w:r>
      <w:r w:rsidR="00754388">
        <w:t xml:space="preserve">Vi vil også understreke </w:t>
      </w:r>
      <w:r w:rsidR="001C66FB">
        <w:t xml:space="preserve">betydningen av </w:t>
      </w:r>
      <w:r w:rsidR="00754388">
        <w:t>biskopenes anbefaling av aksjonen.</w:t>
      </w:r>
      <w:r w:rsidR="007B3E81">
        <w:t xml:space="preserve">  </w:t>
      </w:r>
    </w:p>
    <w:p w14:paraId="08B4C6FA" w14:textId="2A1C63EA" w:rsidR="007B3E81" w:rsidRDefault="007B3E81" w:rsidP="007B3E81">
      <w:r w:rsidRPr="00D971B5">
        <w:rPr>
          <w:b/>
          <w:bCs/>
        </w:rPr>
        <w:t>Samarbeid med organisasjonene</w:t>
      </w:r>
      <w:r>
        <w:br/>
        <w:t>Selv om dette er kirkens egen aksjon for den globale kirke</w:t>
      </w:r>
      <w:r w:rsidR="00345A1A">
        <w:t>,</w:t>
      </w:r>
      <w:r>
        <w:t xml:space="preserve"> har organisasjonene en sentral rolle i samarbeidet. H</w:t>
      </w:r>
      <w:r w:rsidR="00345A1A">
        <w:t>e</w:t>
      </w:r>
      <w:r>
        <w:t>r har vi opplevd mye velvilje og god drahjelp</w:t>
      </w:r>
      <w:r w:rsidR="000D399C">
        <w:t>.</w:t>
      </w:r>
      <w:r>
        <w:t xml:space="preserve"> Organisasjonene har utnevnt egne kontaktpersoner som har fulgt opp</w:t>
      </w:r>
      <w:r w:rsidR="000D399C">
        <w:t>,</w:t>
      </w:r>
      <w:r>
        <w:t xml:space="preserve"> både i forhold til informasjonsbehovet i aksjonen og når det gjelder verving av menigheter som organisasjonen har avtale med. All honnør til SMM</w:t>
      </w:r>
      <w:r w:rsidR="00CF7E6D">
        <w:t>-</w:t>
      </w:r>
      <w:r>
        <w:t>organisasjonene. Daglig leder av SMM har spilt en viktig rolle i gruppen og i f</w:t>
      </w:r>
      <w:r w:rsidR="00D971B5">
        <w:t>a</w:t>
      </w:r>
      <w:r>
        <w:t>s</w:t>
      </w:r>
      <w:r w:rsidR="00CF7E6D">
        <w:t>i</w:t>
      </w:r>
      <w:r>
        <w:t>li</w:t>
      </w:r>
      <w:r w:rsidR="00D971B5">
        <w:t>t</w:t>
      </w:r>
      <w:r>
        <w:t>ering</w:t>
      </w:r>
      <w:r w:rsidR="00D971B5">
        <w:t>en</w:t>
      </w:r>
      <w:r>
        <w:t xml:space="preserve"> av kontakt</w:t>
      </w:r>
      <w:r w:rsidR="00B74C12">
        <w:t>,</w:t>
      </w:r>
      <w:r>
        <w:t xml:space="preserve"> både med misjonsrådgiver</w:t>
      </w:r>
      <w:r w:rsidR="00B74C12">
        <w:t>n</w:t>
      </w:r>
      <w:r>
        <w:t>e og SMM-organisasjonene. Han har og</w:t>
      </w:r>
      <w:r w:rsidR="00CF7E6D">
        <w:t>så vært forbindelseslinjen mot K</w:t>
      </w:r>
      <w:r>
        <w:t>irkerådet sentralt.</w:t>
      </w:r>
    </w:p>
    <w:p w14:paraId="776E0D77" w14:textId="7A5057E6" w:rsidR="007B3E81" w:rsidRDefault="00CF7E6D" w:rsidP="007B3E81">
      <w:r>
        <w:rPr>
          <w:b/>
          <w:bCs/>
        </w:rPr>
        <w:t>Kontakt med Kirkens N</w:t>
      </w:r>
      <w:r w:rsidR="00D971B5" w:rsidRPr="00066B85">
        <w:rPr>
          <w:b/>
          <w:bCs/>
        </w:rPr>
        <w:t>ødhjelp</w:t>
      </w:r>
      <w:r w:rsidR="00D971B5">
        <w:br/>
      </w:r>
      <w:r w:rsidR="00066B85">
        <w:t>Vi opplever at menighetenes to «globale bein» går i fin takt og gjensidig beriker og styrker hverandre. For menighetene er det viktig at det er god koordinering mellom de to aksjonene.</w:t>
      </w:r>
      <w:r w:rsidR="00227687" w:rsidRPr="00227687">
        <w:t xml:space="preserve"> </w:t>
      </w:r>
      <w:r w:rsidR="00227687">
        <w:t xml:space="preserve">KN har vært positive til aksjonen og vi har samkjørt våre tiltak i god og gjensidig dialog. </w:t>
      </w:r>
      <w:r w:rsidR="00066B85">
        <w:t xml:space="preserve"> </w:t>
      </w:r>
    </w:p>
    <w:p w14:paraId="2A0E2C8B" w14:textId="77777777" w:rsidR="0021389D" w:rsidRDefault="00044C50" w:rsidP="00D35C56">
      <w:r w:rsidRPr="00044C50">
        <w:rPr>
          <w:b/>
          <w:bCs/>
        </w:rPr>
        <w:t>Gode effekter</w:t>
      </w:r>
      <w:r>
        <w:br/>
      </w:r>
      <w:r w:rsidR="00760501">
        <w:t xml:space="preserve">En av årsakene til at </w:t>
      </w:r>
      <w:r w:rsidR="008A5CCC">
        <w:t xml:space="preserve">årets </w:t>
      </w:r>
      <w:r w:rsidR="00760501">
        <w:t xml:space="preserve">aksjon har </w:t>
      </w:r>
      <w:r w:rsidR="00F32F96">
        <w:t xml:space="preserve">fått en </w:t>
      </w:r>
      <w:r w:rsidR="00CF7E6D">
        <w:t>breder</w:t>
      </w:r>
      <w:r w:rsidR="00760501">
        <w:t>e forankring</w:t>
      </w:r>
      <w:r w:rsidR="008B5231">
        <w:t xml:space="preserve"> </w:t>
      </w:r>
      <w:r w:rsidR="00F32F96">
        <w:t>blant de aller fleste av lande</w:t>
      </w:r>
      <w:r w:rsidR="004610C3">
        <w:t>t</w:t>
      </w:r>
      <w:r w:rsidR="00F32F96">
        <w:t xml:space="preserve">s bispedømmer, </w:t>
      </w:r>
      <w:r w:rsidR="00760501">
        <w:t xml:space="preserve">er </w:t>
      </w:r>
      <w:r w:rsidR="00055255">
        <w:t xml:space="preserve">at menighetene har </w:t>
      </w:r>
      <w:r w:rsidR="00466F9D">
        <w:t xml:space="preserve">fått bedre tid </w:t>
      </w:r>
      <w:r w:rsidR="002B6530">
        <w:t xml:space="preserve">til å </w:t>
      </w:r>
      <w:r w:rsidR="008A5CCC">
        <w:t xml:space="preserve">forankre </w:t>
      </w:r>
      <w:r w:rsidR="006C433E">
        <w:t xml:space="preserve">aksjonen i </w:t>
      </w:r>
      <w:r w:rsidR="00760501">
        <w:t xml:space="preserve">menighetsråd og </w:t>
      </w:r>
      <w:r w:rsidR="00A85069">
        <w:t xml:space="preserve">i </w:t>
      </w:r>
      <w:r w:rsidR="00760501">
        <w:t>stab</w:t>
      </w:r>
      <w:r w:rsidR="00A85069">
        <w:t>er</w:t>
      </w:r>
      <w:r w:rsidR="00760501">
        <w:t xml:space="preserve"> lokalt. </w:t>
      </w:r>
      <w:r w:rsidR="00121EB6">
        <w:t xml:space="preserve">For de av menighetene som var med i </w:t>
      </w:r>
      <w:r w:rsidR="009060DD">
        <w:t>fjoråre</w:t>
      </w:r>
      <w:r w:rsidR="00856BA4">
        <w:t>ts</w:t>
      </w:r>
      <w:r w:rsidR="009060DD">
        <w:t xml:space="preserve"> aksjon, er det grunn til å anta </w:t>
      </w:r>
      <w:r w:rsidR="00856BA4">
        <w:t>a</w:t>
      </w:r>
      <w:r w:rsidR="009060DD">
        <w:t xml:space="preserve">t </w:t>
      </w:r>
      <w:r w:rsidR="008563A1">
        <w:t>årets aksjon ble noe enklere å gjennomføre</w:t>
      </w:r>
      <w:r w:rsidR="009B7407">
        <w:t xml:space="preserve"> </w:t>
      </w:r>
      <w:r w:rsidR="00C36B10">
        <w:t xml:space="preserve">nettopp </w:t>
      </w:r>
      <w:r w:rsidR="003511A2">
        <w:t>p</w:t>
      </w:r>
      <w:r w:rsidR="00A85069">
        <w:t xml:space="preserve">å </w:t>
      </w:r>
      <w:r w:rsidR="003511A2">
        <w:t>g</w:t>
      </w:r>
      <w:r w:rsidR="00A85069">
        <w:t xml:space="preserve">runn </w:t>
      </w:r>
      <w:r w:rsidR="003511A2">
        <w:t>a</w:t>
      </w:r>
      <w:r w:rsidR="00A85069">
        <w:t>v</w:t>
      </w:r>
      <w:r w:rsidR="003511A2">
        <w:t xml:space="preserve"> </w:t>
      </w:r>
      <w:r w:rsidR="009B7407">
        <w:t>erfaring</w:t>
      </w:r>
      <w:r w:rsidR="00A85069">
        <w:t>en de hadde fra fjor</w:t>
      </w:r>
      <w:r w:rsidR="003511A2">
        <w:t>årets aksjon.</w:t>
      </w:r>
      <w:r w:rsidR="00760501">
        <w:br/>
      </w:r>
    </w:p>
    <w:p w14:paraId="5C0B1A14" w14:textId="351C7A93" w:rsidR="00D35C56" w:rsidRDefault="00044C50" w:rsidP="00D35C56">
      <w:r>
        <w:lastRenderedPageBreak/>
        <w:t xml:space="preserve">Gjennom aksjonen ser vi gode eksempler på at det som skjer i aksjonsperioden forplanter seg over i menighetens </w:t>
      </w:r>
      <w:r w:rsidR="00EB3FE5">
        <w:t xml:space="preserve">øvrige </w:t>
      </w:r>
      <w:r>
        <w:t xml:space="preserve">arbeid. </w:t>
      </w:r>
      <w:r w:rsidR="00641344">
        <w:t xml:space="preserve">Veien fram </w:t>
      </w:r>
      <w:r>
        <w:t xml:space="preserve">til </w:t>
      </w:r>
      <w:r w:rsidR="00641344">
        <w:t xml:space="preserve">å bli </w:t>
      </w:r>
      <w:r w:rsidR="00EB3FE5">
        <w:t xml:space="preserve">med i </w:t>
      </w:r>
      <w:r w:rsidR="00CF7E6D">
        <w:t>aksjonen er enkel. N</w:t>
      </w:r>
      <w:r>
        <w:t>år menigheten går videre og sett</w:t>
      </w:r>
      <w:r w:rsidR="00EB3FE5">
        <w:t xml:space="preserve">er sammen en aksjon som er </w:t>
      </w:r>
      <w:r>
        <w:t xml:space="preserve">digital og </w:t>
      </w:r>
      <w:r w:rsidR="00EB3FE5">
        <w:t xml:space="preserve">samtidig </w:t>
      </w:r>
      <w:r>
        <w:t>består av fysiske kreative samlinger</w:t>
      </w:r>
      <w:r w:rsidR="00D13768">
        <w:t xml:space="preserve">, </w:t>
      </w:r>
      <w:r>
        <w:t xml:space="preserve">lykkes menighetene best. </w:t>
      </w:r>
      <w:r w:rsidR="00EB3FE5">
        <w:t>Noen eksempler her er SUP</w:t>
      </w:r>
      <w:r w:rsidR="0021389D">
        <w:t xml:space="preserve"> (s</w:t>
      </w:r>
      <w:r w:rsidR="00CF7E6D">
        <w:t>tand up padling)</w:t>
      </w:r>
      <w:r w:rsidR="00EB3FE5">
        <w:t xml:space="preserve"> </w:t>
      </w:r>
      <w:r w:rsidR="00CF7E6D">
        <w:t>stafetter, sykkelaksjoner, bade</w:t>
      </w:r>
      <w:r w:rsidR="00EB3FE5">
        <w:t xml:space="preserve">løfter fra prester og ulik bruk av digitale basarer og mye mer. </w:t>
      </w:r>
      <w:r w:rsidR="00BF58F3">
        <w:t>Dette</w:t>
      </w:r>
      <w:r w:rsidR="00CF7E6D">
        <w:t xml:space="preserve"> må tilpasses lokale forhold og res</w:t>
      </w:r>
      <w:r w:rsidR="00BF58F3">
        <w:t>surs</w:t>
      </w:r>
      <w:r w:rsidR="00CF7E6D">
        <w:t>er</w:t>
      </w:r>
      <w:r w:rsidR="00BF58F3">
        <w:t xml:space="preserve">. </w:t>
      </w:r>
      <w:r w:rsidR="00EB3FE5">
        <w:t>Vi fastholder</w:t>
      </w:r>
      <w:r>
        <w:t xml:space="preserve"> at en lav terskel </w:t>
      </w:r>
      <w:r w:rsidR="00EB3FE5">
        <w:t xml:space="preserve">til å bli med </w:t>
      </w:r>
      <w:r>
        <w:t xml:space="preserve">er </w:t>
      </w:r>
      <w:r w:rsidR="00CF7E6D">
        <w:t xml:space="preserve">viktig og at </w:t>
      </w:r>
      <w:r w:rsidR="00EB3FE5">
        <w:t>god</w:t>
      </w:r>
      <w:r w:rsidR="007A6DD8">
        <w:t>e</w:t>
      </w:r>
      <w:r w:rsidR="00EB3FE5">
        <w:t xml:space="preserve"> erfaringer</w:t>
      </w:r>
      <w:r>
        <w:t xml:space="preserve"> </w:t>
      </w:r>
      <w:r w:rsidR="007A6DD8">
        <w:t xml:space="preserve">i selve aksjonstiden </w:t>
      </w:r>
      <w:r>
        <w:t xml:space="preserve">forplanter seg til aktiviteter </w:t>
      </w:r>
      <w:r w:rsidR="007A6DD8">
        <w:t xml:space="preserve">også </w:t>
      </w:r>
      <w:r>
        <w:t xml:space="preserve">utover aksjonsperioden. </w:t>
      </w:r>
      <w:r w:rsidR="00BF58F3">
        <w:t xml:space="preserve">På denne måten ser det også ut til at misjonsengasjementet befrukter menighetsarbeidet, ikke minst innen konfirmant og trosopplæringsarbeidet. </w:t>
      </w:r>
    </w:p>
    <w:p w14:paraId="3BDB02E7" w14:textId="1ADA034C" w:rsidR="00D35C56" w:rsidRDefault="00BF58F3" w:rsidP="00D35C56">
      <w:r>
        <w:rPr>
          <w:b/>
          <w:bCs/>
        </w:rPr>
        <w:t>Oppsummering - v</w:t>
      </w:r>
      <w:r w:rsidRPr="00A63A9F">
        <w:rPr>
          <w:b/>
          <w:bCs/>
        </w:rPr>
        <w:t>eien videre</w:t>
      </w:r>
      <w:r>
        <w:t xml:space="preserve"> </w:t>
      </w:r>
      <w:r>
        <w:br/>
      </w:r>
      <w:r w:rsidR="00D35C56">
        <w:t>Hovedinntrykket etter årets aksjon er a</w:t>
      </w:r>
      <w:r w:rsidR="007A6DD8">
        <w:t>t den oppleves å ha livets rett</w:t>
      </w:r>
      <w:r w:rsidR="00D35C56">
        <w:t xml:space="preserve"> fordi den styrker misjonsengasjementet lokalt. Vi ser av kommentarer som framkommer i sluttrapportene at menighetene opplever aksjonen som et tjenlig redskap for menighetsavtalen. Av rapportene framkommer det at en klar majoritet av me</w:t>
      </w:r>
      <w:r w:rsidR="00EB3FE5">
        <w:t>nighetene som var med i fjor,</w:t>
      </w:r>
      <w:r w:rsidR="00D35C56">
        <w:t xml:space="preserve"> også </w:t>
      </w:r>
      <w:r w:rsidR="00EB3FE5">
        <w:t xml:space="preserve">ble </w:t>
      </w:r>
      <w:r w:rsidR="00D35C56">
        <w:t>med i år. Tallene viser at aksjonen har fått et større eierskap i de fleste av bispedømmene. Vi kan</w:t>
      </w:r>
      <w:r w:rsidR="00EB3FE5">
        <w:t xml:space="preserve"> derfor</w:t>
      </w:r>
      <w:r w:rsidR="00D35C56">
        <w:t xml:space="preserve"> konkludere med at aksjon</w:t>
      </w:r>
      <w:r w:rsidR="00EB3FE5">
        <w:t>en</w:t>
      </w:r>
      <w:r w:rsidR="00D35C56">
        <w:t xml:space="preserve"> virker til å skape innovasjon og nytenk</w:t>
      </w:r>
      <w:r>
        <w:t>ning rundt misjon.</w:t>
      </w:r>
      <w:r w:rsidR="00D35C56">
        <w:t xml:space="preserve"> </w:t>
      </w:r>
    </w:p>
    <w:p w14:paraId="193FD027" w14:textId="71BCD358" w:rsidR="007826D0" w:rsidRDefault="00A63A9F" w:rsidP="007826D0">
      <w:r>
        <w:t>Aksjonen «Sammen som kirke i hele verden» er en hjelp til å styrke menighetenes egne valgt</w:t>
      </w:r>
      <w:r w:rsidR="00D17959">
        <w:t>e</w:t>
      </w:r>
      <w:r>
        <w:t xml:space="preserve">  </w:t>
      </w:r>
      <w:r w:rsidR="00704EC4">
        <w:t xml:space="preserve">SMM- </w:t>
      </w:r>
      <w:r>
        <w:t>misjonsprosjekt. Den er et tiltak og en aksjon som, i en ny digital tid</w:t>
      </w:r>
      <w:r w:rsidR="00704EC4">
        <w:t xml:space="preserve">, </w:t>
      </w:r>
      <w:r>
        <w:t>hjelper menighetene med å vi</w:t>
      </w:r>
      <w:r w:rsidR="00BF58F3">
        <w:t>rkeliggjøre sin identitet og mi</w:t>
      </w:r>
      <w:r>
        <w:t>s</w:t>
      </w:r>
      <w:r w:rsidR="00BF58F3">
        <w:t>j</w:t>
      </w:r>
      <w:r>
        <w:t xml:space="preserve">onale oppgave. </w:t>
      </w:r>
      <w:r w:rsidR="00760501">
        <w:br/>
      </w:r>
      <w:r>
        <w:t xml:space="preserve">En kan si at aksjonen begynte for å </w:t>
      </w:r>
      <w:r w:rsidRPr="00C71233">
        <w:rPr>
          <w:b/>
          <w:bCs/>
        </w:rPr>
        <w:t>berge</w:t>
      </w:r>
      <w:r>
        <w:t xml:space="preserve"> misjonsavtalen i koronatiden, nå vil </w:t>
      </w:r>
      <w:r w:rsidR="00326CFA">
        <w:t>vi</w:t>
      </w:r>
      <w:r w:rsidR="00973B85">
        <w:t xml:space="preserve"> gjerne </w:t>
      </w:r>
      <w:r w:rsidR="003D35DA">
        <w:t xml:space="preserve"> fortsette</w:t>
      </w:r>
      <w:r w:rsidR="00973B85">
        <w:t xml:space="preserve"> for å </w:t>
      </w:r>
      <w:r w:rsidRPr="00C71233">
        <w:rPr>
          <w:b/>
          <w:bCs/>
        </w:rPr>
        <w:t>styrke</w:t>
      </w:r>
      <w:r>
        <w:t xml:space="preserve"> de samme avtalene. </w:t>
      </w:r>
    </w:p>
    <w:p w14:paraId="3459A0FD" w14:textId="5AEA81FB" w:rsidR="002E05E4" w:rsidRDefault="00A63A9F" w:rsidP="00036A63">
      <w:r>
        <w:t>Ut fra dette anbefaler aksjonsgruppen en fortsettelse av aksjonen. Vi tror at en regional forankring i et</w:t>
      </w:r>
      <w:r w:rsidR="00BF58F3">
        <w:t>t</w:t>
      </w:r>
      <w:r>
        <w:t xml:space="preserve"> bispedømme kan være en god modell også videre. Aksjonen </w:t>
      </w:r>
      <w:r w:rsidR="00EB3FE5">
        <w:t xml:space="preserve">vil </w:t>
      </w:r>
      <w:r w:rsidR="00BF58F3">
        <w:t xml:space="preserve">dog </w:t>
      </w:r>
      <w:r w:rsidR="00EB3FE5">
        <w:t xml:space="preserve">miste sin kraft dersom ikke en koordinerende gruppe drar lasset og bygger </w:t>
      </w:r>
      <w:r w:rsidR="001168D6">
        <w:t xml:space="preserve">en felles </w:t>
      </w:r>
      <w:r w:rsidR="00BF58F3">
        <w:t xml:space="preserve">nasjon </w:t>
      </w:r>
      <w:r w:rsidR="001168D6">
        <w:t>profil</w:t>
      </w:r>
      <w:r w:rsidR="00EB3FE5">
        <w:t xml:space="preserve"> og identitet</w:t>
      </w:r>
      <w:r w:rsidR="001168D6">
        <w:t>. En slik gruppe er arbeidsbesparende og effektiv. Denne aksjonen har vokst fram fra et initiativ i Agder og Telemark bispedømme og e</w:t>
      </w:r>
      <w:r w:rsidR="00F652F9">
        <w:t>r</w:t>
      </w:r>
      <w:r w:rsidR="001168D6">
        <w:t xml:space="preserve"> </w:t>
      </w:r>
      <w:r w:rsidR="00F652F9">
        <w:t>i d</w:t>
      </w:r>
      <w:r w:rsidR="001236A1">
        <w:t>a</w:t>
      </w:r>
      <w:r w:rsidR="00F652F9">
        <w:t>g</w:t>
      </w:r>
      <w:r w:rsidR="001168D6">
        <w:t xml:space="preserve"> landsomfa</w:t>
      </w:r>
      <w:r w:rsidR="00506326">
        <w:t>ttende</w:t>
      </w:r>
      <w:r w:rsidR="001168D6">
        <w:t>. For kirken mener vi det er viktig at en slik aksjon fortsatt kan være forankret i ett bispedømme</w:t>
      </w:r>
      <w:r w:rsidR="00BA1B77">
        <w:t>,</w:t>
      </w:r>
      <w:r w:rsidR="001168D6">
        <w:t xml:space="preserve"> på vegne av de bispedømmer og</w:t>
      </w:r>
      <w:r w:rsidR="00506326">
        <w:t xml:space="preserve"> menigheter som slutter seg til.</w:t>
      </w:r>
    </w:p>
    <w:p w14:paraId="1BA4ABE8" w14:textId="5FF52CF7" w:rsidR="00FA21F9" w:rsidRDefault="003733B6" w:rsidP="00036A63">
      <w:r w:rsidRPr="00506326">
        <w:rPr>
          <w:b/>
        </w:rPr>
        <w:t>Aksjonsgrupp</w:t>
      </w:r>
      <w:r w:rsidR="00AD1EAE" w:rsidRPr="00506326">
        <w:rPr>
          <w:b/>
        </w:rPr>
        <w:t>en</w:t>
      </w:r>
      <w:r w:rsidR="00BF58F3">
        <w:rPr>
          <w:b/>
        </w:rPr>
        <w:t>s</w:t>
      </w:r>
      <w:r w:rsidRPr="00506326">
        <w:rPr>
          <w:b/>
        </w:rPr>
        <w:t xml:space="preserve"> anbefa</w:t>
      </w:r>
      <w:r w:rsidR="00506326">
        <w:rPr>
          <w:b/>
        </w:rPr>
        <w:t>linger:</w:t>
      </w:r>
      <w:r w:rsidR="00036A63" w:rsidRPr="00506326">
        <w:br/>
      </w:r>
      <w:r w:rsidR="00036A63">
        <w:t xml:space="preserve">1. </w:t>
      </w:r>
      <w:r w:rsidR="00506326">
        <w:t>A</w:t>
      </w:r>
      <w:r w:rsidR="00602521">
        <w:t>ksjonsperioden ligger fast</w:t>
      </w:r>
      <w:r w:rsidR="00506326">
        <w:t xml:space="preserve"> fra Kr</w:t>
      </w:r>
      <w:r w:rsidR="00BF58F3">
        <w:t>isti</w:t>
      </w:r>
      <w:r w:rsidR="00506326">
        <w:t xml:space="preserve"> Himmelfart</w:t>
      </w:r>
      <w:r w:rsidR="00BF58F3">
        <w:t>sdag</w:t>
      </w:r>
      <w:r w:rsidR="00506326">
        <w:t xml:space="preserve"> til S</w:t>
      </w:r>
      <w:r w:rsidR="00BF58F3">
        <w:t>ankt</w:t>
      </w:r>
      <w:r w:rsidR="00506326">
        <w:t>h</w:t>
      </w:r>
      <w:r w:rsidR="00602521">
        <w:t xml:space="preserve">ans. </w:t>
      </w:r>
      <w:r w:rsidR="00602521">
        <w:br/>
      </w:r>
      <w:r w:rsidR="00036A63">
        <w:t xml:space="preserve">2. </w:t>
      </w:r>
      <w:r w:rsidR="00506326">
        <w:t>A</w:t>
      </w:r>
      <w:r w:rsidR="00C65199">
        <w:t xml:space="preserve">ksjonen er </w:t>
      </w:r>
      <w:r w:rsidR="00602521">
        <w:t>fleksibel</w:t>
      </w:r>
      <w:r w:rsidR="00C65199">
        <w:t xml:space="preserve">, med </w:t>
      </w:r>
      <w:r w:rsidR="00506326">
        <w:t>en lav terskel til å bli med</w:t>
      </w:r>
      <w:r w:rsidR="00602521">
        <w:t xml:space="preserve"> og samtidig </w:t>
      </w:r>
      <w:r w:rsidR="00506326">
        <w:t>tilrettelegge for økt globalt engasjement</w:t>
      </w:r>
      <w:r w:rsidR="00602521">
        <w:t xml:space="preserve"> for den enkelte menighet.</w:t>
      </w:r>
      <w:r w:rsidR="00602521">
        <w:br/>
      </w:r>
      <w:r w:rsidR="00036A63">
        <w:t xml:space="preserve">3. </w:t>
      </w:r>
      <w:r w:rsidR="00602521">
        <w:t>Mål</w:t>
      </w:r>
      <w:r w:rsidR="00394E85">
        <w:t>et</w:t>
      </w:r>
      <w:r w:rsidR="00602521">
        <w:t xml:space="preserve"> for 2022</w:t>
      </w:r>
      <w:r w:rsidR="009F7358">
        <w:t>: V</w:t>
      </w:r>
      <w:r w:rsidR="00B4490F">
        <w:t xml:space="preserve">ekst </w:t>
      </w:r>
      <w:r w:rsidR="00170D9B">
        <w:t>i</w:t>
      </w:r>
      <w:r w:rsidR="00602521">
        <w:t xml:space="preserve"> antall menigheter </w:t>
      </w:r>
      <w:r w:rsidR="0046768B">
        <w:t xml:space="preserve">som er med i aksjonen </w:t>
      </w:r>
      <w:r w:rsidR="00602521">
        <w:t>til 200 og å nå ful</w:t>
      </w:r>
      <w:r w:rsidR="00BF58F3">
        <w:t>l</w:t>
      </w:r>
      <w:r w:rsidR="00602521">
        <w:t xml:space="preserve">t ut 2 millioner kroner i registrerte inntekter til prosjektene. </w:t>
      </w:r>
      <w:r w:rsidR="00506326">
        <w:br/>
        <w:t xml:space="preserve">4. </w:t>
      </w:r>
      <w:r w:rsidR="00036A63">
        <w:t xml:space="preserve">En ser for seg en fortsatt vekst på </w:t>
      </w:r>
      <w:r w:rsidR="00506326">
        <w:t xml:space="preserve">kr. </w:t>
      </w:r>
      <w:r w:rsidR="00036A63">
        <w:t>500</w:t>
      </w:r>
      <w:r w:rsidR="0021389D">
        <w:t>.</w:t>
      </w:r>
      <w:r w:rsidR="00506326">
        <w:t xml:space="preserve">000 pr. år i </w:t>
      </w:r>
      <w:r w:rsidR="00036A63">
        <w:t xml:space="preserve">de neste 5 årene. Dette skal skje både ved vekst i antall menigheter og vekst i inntektene fra de menighetene som er med. </w:t>
      </w:r>
    </w:p>
    <w:p w14:paraId="628D02CB" w14:textId="56B113BD" w:rsidR="00FA21F9" w:rsidRDefault="00FA21F9" w:rsidP="00036A63">
      <w:r>
        <w:t>10. september 2021</w:t>
      </w:r>
    </w:p>
    <w:p w14:paraId="5B4AF329" w14:textId="1EF070A4" w:rsidR="004610C3" w:rsidRDefault="004610C3" w:rsidP="00036A63">
      <w:r>
        <w:t>Aksjonsgruppen</w:t>
      </w:r>
      <w:r>
        <w:br/>
        <w:t>Ivar Sandnes</w:t>
      </w:r>
      <w:r>
        <w:tab/>
        <w:t xml:space="preserve">  Knut Hallen</w:t>
      </w:r>
      <w:r>
        <w:tab/>
        <w:t xml:space="preserve">   Tore Gullaksen</w:t>
      </w:r>
      <w:r>
        <w:tab/>
        <w:t>Rune Rasmussen</w:t>
      </w:r>
      <w:r>
        <w:tab/>
        <w:t>Geir Sakseid</w:t>
      </w:r>
      <w:r>
        <w:tab/>
      </w:r>
    </w:p>
    <w:p w14:paraId="4AC8118C" w14:textId="77777777" w:rsidR="00602521" w:rsidRDefault="00602521" w:rsidP="007826D0"/>
    <w:p w14:paraId="02ACAB4A" w14:textId="77777777" w:rsidR="00155226" w:rsidRDefault="00155226" w:rsidP="007826D0"/>
    <w:sectPr w:rsidR="00155226" w:rsidSect="00E608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20CEC"/>
    <w:multiLevelType w:val="hybridMultilevel"/>
    <w:tmpl w:val="E97CF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7DC02B6"/>
    <w:multiLevelType w:val="hybridMultilevel"/>
    <w:tmpl w:val="52F87F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2AB0C0A"/>
    <w:multiLevelType w:val="hybridMultilevel"/>
    <w:tmpl w:val="0E10EF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3C6"/>
    <w:rsid w:val="00003B0A"/>
    <w:rsid w:val="00006A7A"/>
    <w:rsid w:val="00016936"/>
    <w:rsid w:val="00026F39"/>
    <w:rsid w:val="000312FE"/>
    <w:rsid w:val="00036A63"/>
    <w:rsid w:val="00041AF1"/>
    <w:rsid w:val="0004446E"/>
    <w:rsid w:val="00044C50"/>
    <w:rsid w:val="00053E7F"/>
    <w:rsid w:val="00054745"/>
    <w:rsid w:val="00055255"/>
    <w:rsid w:val="00066B85"/>
    <w:rsid w:val="00085AA9"/>
    <w:rsid w:val="00096E7A"/>
    <w:rsid w:val="000C3AA8"/>
    <w:rsid w:val="000D399C"/>
    <w:rsid w:val="000E4FD3"/>
    <w:rsid w:val="001117BE"/>
    <w:rsid w:val="001168D6"/>
    <w:rsid w:val="00121EB6"/>
    <w:rsid w:val="001236A1"/>
    <w:rsid w:val="00134219"/>
    <w:rsid w:val="00136D01"/>
    <w:rsid w:val="00155226"/>
    <w:rsid w:val="001677A9"/>
    <w:rsid w:val="00170D9B"/>
    <w:rsid w:val="00176AD9"/>
    <w:rsid w:val="001941C5"/>
    <w:rsid w:val="001B42C5"/>
    <w:rsid w:val="001C66FB"/>
    <w:rsid w:val="0020626B"/>
    <w:rsid w:val="00211C7D"/>
    <w:rsid w:val="00213057"/>
    <w:rsid w:val="0021389D"/>
    <w:rsid w:val="002207C4"/>
    <w:rsid w:val="00227687"/>
    <w:rsid w:val="002405E3"/>
    <w:rsid w:val="00267EE9"/>
    <w:rsid w:val="00273603"/>
    <w:rsid w:val="002937CD"/>
    <w:rsid w:val="002B6530"/>
    <w:rsid w:val="002B78F2"/>
    <w:rsid w:val="002C21A2"/>
    <w:rsid w:val="002E05E4"/>
    <w:rsid w:val="003201E4"/>
    <w:rsid w:val="00326CFA"/>
    <w:rsid w:val="003304CD"/>
    <w:rsid w:val="00345A1A"/>
    <w:rsid w:val="003511A2"/>
    <w:rsid w:val="003733B6"/>
    <w:rsid w:val="0037420B"/>
    <w:rsid w:val="00394E85"/>
    <w:rsid w:val="003A4ABC"/>
    <w:rsid w:val="003B1590"/>
    <w:rsid w:val="003B504A"/>
    <w:rsid w:val="003D35DA"/>
    <w:rsid w:val="004253EF"/>
    <w:rsid w:val="004319C7"/>
    <w:rsid w:val="004610C3"/>
    <w:rsid w:val="00466F9D"/>
    <w:rsid w:val="0046768B"/>
    <w:rsid w:val="0047598A"/>
    <w:rsid w:val="004861DE"/>
    <w:rsid w:val="004B55F5"/>
    <w:rsid w:val="004F0577"/>
    <w:rsid w:val="00506326"/>
    <w:rsid w:val="005106C8"/>
    <w:rsid w:val="00586F23"/>
    <w:rsid w:val="005D78F1"/>
    <w:rsid w:val="005E2355"/>
    <w:rsid w:val="00602521"/>
    <w:rsid w:val="0061065A"/>
    <w:rsid w:val="00614848"/>
    <w:rsid w:val="00641344"/>
    <w:rsid w:val="00654A21"/>
    <w:rsid w:val="00680B06"/>
    <w:rsid w:val="0068637A"/>
    <w:rsid w:val="006974C4"/>
    <w:rsid w:val="006A49E5"/>
    <w:rsid w:val="006C433E"/>
    <w:rsid w:val="006F0C5C"/>
    <w:rsid w:val="007035CD"/>
    <w:rsid w:val="00704EC4"/>
    <w:rsid w:val="00723768"/>
    <w:rsid w:val="00734025"/>
    <w:rsid w:val="00754388"/>
    <w:rsid w:val="00760501"/>
    <w:rsid w:val="007826D0"/>
    <w:rsid w:val="007A5FA1"/>
    <w:rsid w:val="007A6DD8"/>
    <w:rsid w:val="007B3E81"/>
    <w:rsid w:val="007C0A90"/>
    <w:rsid w:val="007D65FB"/>
    <w:rsid w:val="008163D2"/>
    <w:rsid w:val="00836FB5"/>
    <w:rsid w:val="00841346"/>
    <w:rsid w:val="00852D30"/>
    <w:rsid w:val="00853F74"/>
    <w:rsid w:val="008563A1"/>
    <w:rsid w:val="00856BA4"/>
    <w:rsid w:val="00882086"/>
    <w:rsid w:val="008A5CCC"/>
    <w:rsid w:val="008B5231"/>
    <w:rsid w:val="008E420A"/>
    <w:rsid w:val="008E790D"/>
    <w:rsid w:val="009060DD"/>
    <w:rsid w:val="009302A7"/>
    <w:rsid w:val="00973B85"/>
    <w:rsid w:val="009873C6"/>
    <w:rsid w:val="009B7407"/>
    <w:rsid w:val="009C353E"/>
    <w:rsid w:val="009D600A"/>
    <w:rsid w:val="009F3A96"/>
    <w:rsid w:val="009F7358"/>
    <w:rsid w:val="00A171F9"/>
    <w:rsid w:val="00A17255"/>
    <w:rsid w:val="00A3530E"/>
    <w:rsid w:val="00A63A9F"/>
    <w:rsid w:val="00A644DE"/>
    <w:rsid w:val="00A85069"/>
    <w:rsid w:val="00A93C52"/>
    <w:rsid w:val="00AD1EAE"/>
    <w:rsid w:val="00AE0907"/>
    <w:rsid w:val="00AF0EF0"/>
    <w:rsid w:val="00B06182"/>
    <w:rsid w:val="00B21641"/>
    <w:rsid w:val="00B40376"/>
    <w:rsid w:val="00B41823"/>
    <w:rsid w:val="00B4490F"/>
    <w:rsid w:val="00B44A99"/>
    <w:rsid w:val="00B5140D"/>
    <w:rsid w:val="00B719B1"/>
    <w:rsid w:val="00B74C12"/>
    <w:rsid w:val="00B75276"/>
    <w:rsid w:val="00BA1B77"/>
    <w:rsid w:val="00BA2C12"/>
    <w:rsid w:val="00BB0540"/>
    <w:rsid w:val="00BF58F3"/>
    <w:rsid w:val="00C202C8"/>
    <w:rsid w:val="00C36B10"/>
    <w:rsid w:val="00C55563"/>
    <w:rsid w:val="00C55568"/>
    <w:rsid w:val="00C60282"/>
    <w:rsid w:val="00C65199"/>
    <w:rsid w:val="00C71233"/>
    <w:rsid w:val="00C870DD"/>
    <w:rsid w:val="00CB7BB9"/>
    <w:rsid w:val="00CC1AD9"/>
    <w:rsid w:val="00CD7701"/>
    <w:rsid w:val="00CF7E6D"/>
    <w:rsid w:val="00D13768"/>
    <w:rsid w:val="00D17959"/>
    <w:rsid w:val="00D338EE"/>
    <w:rsid w:val="00D35C56"/>
    <w:rsid w:val="00D40315"/>
    <w:rsid w:val="00D578B5"/>
    <w:rsid w:val="00D81283"/>
    <w:rsid w:val="00D846F4"/>
    <w:rsid w:val="00D86F0B"/>
    <w:rsid w:val="00D971B5"/>
    <w:rsid w:val="00D977A4"/>
    <w:rsid w:val="00DC3F89"/>
    <w:rsid w:val="00DD26F2"/>
    <w:rsid w:val="00E0335A"/>
    <w:rsid w:val="00E6080E"/>
    <w:rsid w:val="00E74C12"/>
    <w:rsid w:val="00EB39DF"/>
    <w:rsid w:val="00EB3FE5"/>
    <w:rsid w:val="00ED7CFA"/>
    <w:rsid w:val="00EE31AC"/>
    <w:rsid w:val="00F1413A"/>
    <w:rsid w:val="00F1598E"/>
    <w:rsid w:val="00F27AAF"/>
    <w:rsid w:val="00F32F96"/>
    <w:rsid w:val="00F35448"/>
    <w:rsid w:val="00F501A8"/>
    <w:rsid w:val="00F619D9"/>
    <w:rsid w:val="00F652F9"/>
    <w:rsid w:val="00F81856"/>
    <w:rsid w:val="00F94BFD"/>
    <w:rsid w:val="00F9662B"/>
    <w:rsid w:val="00FA21F9"/>
    <w:rsid w:val="00FA242F"/>
    <w:rsid w:val="00FD1A18"/>
    <w:rsid w:val="00FE108B"/>
    <w:rsid w:val="00FE49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2D29"/>
  <w14:defaultImageDpi w14:val="32767"/>
  <w15:chartTrackingRefBased/>
  <w15:docId w15:val="{A4EDD90C-0074-F046-BC1F-72D0B98C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9E5"/>
    <w:pPr>
      <w:spacing w:after="180" w:line="274" w:lineRule="auto"/>
    </w:pPr>
    <w:rPr>
      <w:rFonts w:ascii="Times New Roman" w:hAnsi="Times New Roman"/>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36A63"/>
    <w:pPr>
      <w:ind w:left="720"/>
      <w:contextualSpacing/>
    </w:pPr>
  </w:style>
  <w:style w:type="table" w:styleId="Tabellrutenett">
    <w:name w:val="Table Grid"/>
    <w:basedOn w:val="Vanligtabell"/>
    <w:uiPriority w:val="39"/>
    <w:rsid w:val="00F15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B812BFE4B33840B6E70A171BFBF4AA" ma:contentTypeVersion="12" ma:contentTypeDescription="Opprett et nytt dokument." ma:contentTypeScope="" ma:versionID="011461e8f44c5a7ae14ba2a624533363">
  <xsd:schema xmlns:xsd="http://www.w3.org/2001/XMLSchema" xmlns:xs="http://www.w3.org/2001/XMLSchema" xmlns:p="http://schemas.microsoft.com/office/2006/metadata/properties" xmlns:ns3="423a1c97-029a-4e3c-a411-d2ecf3968dc8" xmlns:ns4="b6aa0892-9a49-46b7-ae84-bea6c4e352a9" targetNamespace="http://schemas.microsoft.com/office/2006/metadata/properties" ma:root="true" ma:fieldsID="31cf808e951c4a6bee533c0323dd860e" ns3:_="" ns4:_="">
    <xsd:import namespace="423a1c97-029a-4e3c-a411-d2ecf3968dc8"/>
    <xsd:import namespace="b6aa0892-9a49-46b7-ae84-bea6c4e352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a1c97-029a-4e3c-a411-d2ecf3968dc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a0892-9a49-46b7-ae84-bea6c4e352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036D5-CADE-4AF3-B192-400B8308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a1c97-029a-4e3c-a411-d2ecf3968dc8"/>
    <ds:schemaRef ds:uri="b6aa0892-9a49-46b7-ae84-bea6c4e35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2E9F7-D03D-4AC4-8565-1D182BB44D86}">
  <ds:schemaRefs>
    <ds:schemaRef ds:uri="http://schemas.microsoft.com/sharepoint/v3/contenttype/forms"/>
  </ds:schemaRefs>
</ds:datastoreItem>
</file>

<file path=customXml/itemProps3.xml><?xml version="1.0" encoding="utf-8"?>
<ds:datastoreItem xmlns:ds="http://schemas.openxmlformats.org/officeDocument/2006/customXml" ds:itemID="{0475035B-2D34-48F3-BE8D-6DCD368BE9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7947</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Rasmussen</dc:creator>
  <cp:keywords/>
  <dc:description/>
  <cp:lastModifiedBy>Rune Rasmussen</cp:lastModifiedBy>
  <cp:revision>2</cp:revision>
  <cp:lastPrinted>2021-09-02T06:36:00Z</cp:lastPrinted>
  <dcterms:created xsi:type="dcterms:W3CDTF">2021-12-09T07:36:00Z</dcterms:created>
  <dcterms:modified xsi:type="dcterms:W3CDTF">2021-12-09T07:36:00Z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0x01010078B812BFE4B33840B6E70A171BFBF4AA</vt:lpwstr>
  </property>
</Properties>
</file>